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BFE" w:rsidRDefault="00926FAD" w:rsidP="00922E7F">
      <w:pPr>
        <w:spacing w:after="0" w:line="240" w:lineRule="auto"/>
        <w:ind w:left="851"/>
        <w:jc w:val="center"/>
        <w:rPr>
          <w:rFonts w:ascii="Calibri" w:eastAsia="Times New Roman" w:hAnsi="Calibri" w:cs="Times New Roman"/>
          <w:b/>
          <w:bCs/>
          <w:color w:val="60497A"/>
          <w:sz w:val="28"/>
          <w:szCs w:val="28"/>
        </w:rPr>
      </w:pPr>
      <w:bookmarkStart w:id="0" w:name="_GoBack"/>
      <w:bookmarkEnd w:id="0"/>
      <w:r w:rsidRPr="00922E7F">
        <w:rPr>
          <w:rFonts w:ascii="Calibri" w:eastAsia="Times New Roman" w:hAnsi="Calibri" w:cs="Times New Roman"/>
          <w:b/>
          <w:bCs/>
          <w:color w:val="60497A"/>
          <w:sz w:val="28"/>
          <w:szCs w:val="28"/>
        </w:rPr>
        <w:t xml:space="preserve">Tabla de aplicabilidad de las Obligaciones de transparencia </w:t>
      </w:r>
      <w:r w:rsidR="00B12FAC">
        <w:rPr>
          <w:rFonts w:ascii="Calibri" w:eastAsia="Times New Roman" w:hAnsi="Calibri" w:cs="Times New Roman"/>
          <w:b/>
          <w:bCs/>
          <w:color w:val="60497A"/>
          <w:sz w:val="28"/>
          <w:szCs w:val="28"/>
        </w:rPr>
        <w:t>específicas del Poder Ejecutivo</w:t>
      </w:r>
      <w:r w:rsidR="0091347C">
        <w:rPr>
          <w:rFonts w:ascii="Calibri" w:eastAsia="Times New Roman" w:hAnsi="Calibri" w:cs="Times New Roman"/>
          <w:b/>
          <w:bCs/>
          <w:color w:val="60497A"/>
          <w:sz w:val="28"/>
          <w:szCs w:val="28"/>
        </w:rPr>
        <w:t xml:space="preserve"> </w:t>
      </w:r>
    </w:p>
    <w:p w:rsidR="00EB76C4" w:rsidRPr="00922E7F" w:rsidRDefault="00957BFE" w:rsidP="00922E7F">
      <w:pPr>
        <w:spacing w:after="0" w:line="240" w:lineRule="auto"/>
        <w:ind w:left="851"/>
        <w:jc w:val="center"/>
        <w:rPr>
          <w:rFonts w:ascii="Calibri" w:eastAsia="Times New Roman" w:hAnsi="Calibri" w:cs="Times New Roman"/>
          <w:b/>
          <w:bCs/>
          <w:color w:val="60497A"/>
          <w:sz w:val="28"/>
          <w:szCs w:val="28"/>
        </w:rPr>
      </w:pPr>
      <w:r>
        <w:rPr>
          <w:rFonts w:ascii="Calibri" w:eastAsia="Times New Roman" w:hAnsi="Calibri" w:cs="Times New Roman"/>
          <w:b/>
          <w:bCs/>
          <w:color w:val="60497A"/>
          <w:sz w:val="28"/>
          <w:szCs w:val="28"/>
        </w:rPr>
        <w:t>Secretaría de la Contraloría General</w:t>
      </w:r>
    </w:p>
    <w:p w:rsidR="00554264" w:rsidRDefault="00554264" w:rsidP="00667E9A">
      <w:pPr>
        <w:spacing w:after="0" w:line="240" w:lineRule="auto"/>
        <w:ind w:left="851"/>
        <w:jc w:val="both"/>
        <w:rPr>
          <w:i/>
        </w:rPr>
      </w:pPr>
    </w:p>
    <w:p w:rsidR="00667E9A" w:rsidRDefault="00667E9A" w:rsidP="00667E9A">
      <w:pPr>
        <w:spacing w:after="0" w:line="240" w:lineRule="auto"/>
        <w:ind w:left="851"/>
        <w:jc w:val="both"/>
        <w:rPr>
          <w:rFonts w:ascii="Calibri" w:eastAsia="Times New Roman" w:hAnsi="Calibri" w:cs="Times New Roman"/>
          <w:b/>
          <w:bCs/>
          <w:color w:val="60497A"/>
        </w:rPr>
      </w:pPr>
      <w:r w:rsidRPr="00554264">
        <w:rPr>
          <w:rFonts w:ascii="Calibri" w:eastAsia="Times New Roman" w:hAnsi="Calibri" w:cs="Times New Roman"/>
          <w:b/>
          <w:bCs/>
          <w:i/>
          <w:color w:val="60497A"/>
          <w:sz w:val="24"/>
          <w:szCs w:val="24"/>
        </w:rPr>
        <w:t>Artículo 7</w:t>
      </w:r>
      <w:r w:rsidR="00B12FAC">
        <w:rPr>
          <w:rFonts w:ascii="Calibri" w:eastAsia="Times New Roman" w:hAnsi="Calibri" w:cs="Times New Roman"/>
          <w:b/>
          <w:bCs/>
          <w:i/>
          <w:color w:val="60497A"/>
          <w:sz w:val="24"/>
          <w:szCs w:val="24"/>
        </w:rPr>
        <w:t>1</w:t>
      </w:r>
      <w:r w:rsidRPr="00554264">
        <w:rPr>
          <w:rFonts w:ascii="Calibri" w:eastAsia="Times New Roman" w:hAnsi="Calibri" w:cs="Times New Roman"/>
          <w:b/>
          <w:bCs/>
          <w:i/>
          <w:color w:val="60497A"/>
          <w:sz w:val="24"/>
          <w:szCs w:val="24"/>
        </w:rPr>
        <w:t>.</w:t>
      </w:r>
      <w:r>
        <w:rPr>
          <w:i/>
        </w:rPr>
        <w:t xml:space="preserve"> </w:t>
      </w:r>
      <w:r w:rsidR="00B12FAC" w:rsidRPr="00B12FAC">
        <w:rPr>
          <w:i/>
        </w:rPr>
        <w:t>Además de lo señalado en el artículo anterior de la presente Ley, los sujetos obligados de los Poderes Ejecutivos Federal, de las Entidades Federativas y municipales, deberán poner a disposición del público y actu</w:t>
      </w:r>
      <w:r w:rsidR="00B12FAC">
        <w:rPr>
          <w:i/>
        </w:rPr>
        <w:t>alizar la siguiente información</w:t>
      </w:r>
      <w:r w:rsidRPr="00667E9A">
        <w:rPr>
          <w:i/>
        </w:rPr>
        <w:t>:</w:t>
      </w:r>
      <w:r w:rsidRPr="00BC0E34">
        <w:rPr>
          <w:rFonts w:ascii="Calibri" w:eastAsia="Times New Roman" w:hAnsi="Calibri" w:cs="Times New Roman"/>
          <w:b/>
          <w:bCs/>
          <w:color w:val="60497A"/>
        </w:rPr>
        <w:t xml:space="preserve"> </w:t>
      </w:r>
    </w:p>
    <w:p w:rsidR="00B12FAC" w:rsidRDefault="00B12FAC" w:rsidP="00667E9A">
      <w:pPr>
        <w:spacing w:after="0" w:line="240" w:lineRule="auto"/>
        <w:ind w:left="851"/>
        <w:jc w:val="both"/>
        <w:rPr>
          <w:rFonts w:ascii="Calibri" w:eastAsia="Times New Roman" w:hAnsi="Calibri" w:cs="Times New Roman"/>
          <w:b/>
          <w:bCs/>
          <w:color w:val="60497A"/>
        </w:rPr>
      </w:pPr>
    </w:p>
    <w:tbl>
      <w:tblPr>
        <w:tblW w:w="5000" w:type="pct"/>
        <w:jc w:val="center"/>
        <w:tblLayout w:type="fixed"/>
        <w:tblCellMar>
          <w:left w:w="70" w:type="dxa"/>
          <w:right w:w="70" w:type="dxa"/>
        </w:tblCellMar>
        <w:tblLook w:val="04A0" w:firstRow="1" w:lastRow="0" w:firstColumn="1" w:lastColumn="0" w:noHBand="0" w:noVBand="1"/>
      </w:tblPr>
      <w:tblGrid>
        <w:gridCol w:w="855"/>
        <w:gridCol w:w="1004"/>
        <w:gridCol w:w="2009"/>
        <w:gridCol w:w="1861"/>
        <w:gridCol w:w="2153"/>
        <w:gridCol w:w="2866"/>
        <w:gridCol w:w="2398"/>
      </w:tblGrid>
      <w:tr w:rsidR="00206736" w:rsidRPr="00B12FAC" w:rsidTr="00206736">
        <w:trPr>
          <w:trHeight w:val="765"/>
          <w:tblHeader/>
          <w:jc w:val="center"/>
        </w:trPr>
        <w:tc>
          <w:tcPr>
            <w:tcW w:w="325"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206736" w:rsidRDefault="00206736" w:rsidP="00206736">
            <w:pPr>
              <w:spacing w:after="0" w:line="240" w:lineRule="auto"/>
              <w:jc w:val="center"/>
              <w:rPr>
                <w:rFonts w:ascii="Calibri" w:eastAsia="Times New Roman" w:hAnsi="Calibri" w:cs="Times New Roman"/>
                <w:b/>
                <w:bCs/>
                <w:color w:val="FFFFFF"/>
                <w:sz w:val="16"/>
              </w:rPr>
            </w:pPr>
            <w:r w:rsidRPr="00206736">
              <w:rPr>
                <w:rFonts w:ascii="Calibri" w:eastAsia="Times New Roman" w:hAnsi="Calibri" w:cs="Times New Roman"/>
                <w:b/>
                <w:bCs/>
                <w:color w:val="FFFFFF"/>
                <w:sz w:val="16"/>
              </w:rPr>
              <w:t>Orden de gobierno</w:t>
            </w:r>
          </w:p>
        </w:tc>
        <w:tc>
          <w:tcPr>
            <w:tcW w:w="382"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206736" w:rsidRDefault="00206736" w:rsidP="00206736">
            <w:pPr>
              <w:spacing w:after="0" w:line="240" w:lineRule="auto"/>
              <w:jc w:val="center"/>
              <w:rPr>
                <w:rFonts w:ascii="Calibri" w:eastAsia="Times New Roman" w:hAnsi="Calibri" w:cs="Times New Roman"/>
                <w:b/>
                <w:bCs/>
                <w:color w:val="FFFFFF"/>
                <w:sz w:val="16"/>
              </w:rPr>
            </w:pPr>
            <w:r w:rsidRPr="00206736">
              <w:rPr>
                <w:rFonts w:ascii="Calibri" w:eastAsia="Times New Roman" w:hAnsi="Calibri" w:cs="Times New Roman"/>
                <w:b/>
                <w:bCs/>
                <w:color w:val="FFFFFF"/>
                <w:sz w:val="16"/>
              </w:rPr>
              <w:t>Poder de gobierno o ámbito al que pertenece</w:t>
            </w:r>
          </w:p>
        </w:tc>
        <w:tc>
          <w:tcPr>
            <w:tcW w:w="764"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206736" w:rsidRDefault="00206736" w:rsidP="00206736">
            <w:pPr>
              <w:spacing w:after="0" w:line="240" w:lineRule="auto"/>
              <w:jc w:val="center"/>
              <w:rPr>
                <w:rFonts w:ascii="Calibri" w:eastAsia="Times New Roman" w:hAnsi="Calibri" w:cs="Times New Roman"/>
                <w:b/>
                <w:bCs/>
                <w:color w:val="FFFFFF"/>
                <w:sz w:val="16"/>
              </w:rPr>
            </w:pPr>
            <w:r w:rsidRPr="00206736">
              <w:rPr>
                <w:rFonts w:ascii="Calibri" w:eastAsia="Times New Roman" w:hAnsi="Calibri" w:cs="Times New Roman"/>
                <w:b/>
                <w:bCs/>
                <w:color w:val="FFFFFF"/>
                <w:sz w:val="16"/>
              </w:rPr>
              <w:t>Tipo de sujeto obligado</w:t>
            </w:r>
          </w:p>
        </w:tc>
        <w:tc>
          <w:tcPr>
            <w:tcW w:w="3529" w:type="pct"/>
            <w:gridSpan w:val="4"/>
            <w:tcBorders>
              <w:top w:val="dotted" w:sz="4" w:space="0" w:color="auto"/>
              <w:left w:val="nil"/>
              <w:bottom w:val="dotted" w:sz="4" w:space="0" w:color="auto"/>
              <w:right w:val="dotted" w:sz="4" w:space="0" w:color="auto"/>
            </w:tcBorders>
            <w:shd w:val="clear" w:color="000000" w:fill="60497A"/>
            <w:vAlign w:val="center"/>
            <w:hideMark/>
          </w:tcPr>
          <w:p w:rsidR="00206736" w:rsidRPr="00B12FAC" w:rsidRDefault="00206736" w:rsidP="00B12FAC">
            <w:pPr>
              <w:spacing w:after="0" w:line="240" w:lineRule="auto"/>
              <w:jc w:val="center"/>
              <w:rPr>
                <w:rFonts w:ascii="Calibri" w:eastAsia="Times New Roman" w:hAnsi="Calibri" w:cs="Times New Roman"/>
                <w:b/>
                <w:bCs/>
                <w:color w:val="FFFFFF"/>
                <w:sz w:val="16"/>
              </w:rPr>
            </w:pPr>
            <w:r w:rsidRPr="00B12FAC">
              <w:rPr>
                <w:rFonts w:ascii="Calibri" w:eastAsia="Times New Roman" w:hAnsi="Calibri" w:cs="Times New Roman"/>
                <w:b/>
                <w:bCs/>
                <w:color w:val="FFFFFF"/>
                <w:sz w:val="16"/>
              </w:rPr>
              <w:t>LGTAIP</w:t>
            </w:r>
          </w:p>
        </w:tc>
      </w:tr>
      <w:tr w:rsidR="00B12FAC" w:rsidRPr="00B12FAC" w:rsidTr="00B12FAC">
        <w:trPr>
          <w:trHeight w:val="745"/>
          <w:tblHeader/>
          <w:jc w:val="center"/>
        </w:trPr>
        <w:tc>
          <w:tcPr>
            <w:tcW w:w="325" w:type="pct"/>
            <w:vMerge/>
            <w:tcBorders>
              <w:top w:val="dotted" w:sz="4" w:space="0" w:color="auto"/>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b/>
                <w:bCs/>
                <w:color w:val="FFFFFF"/>
                <w:sz w:val="16"/>
              </w:rPr>
            </w:pPr>
          </w:p>
        </w:tc>
        <w:tc>
          <w:tcPr>
            <w:tcW w:w="382" w:type="pct"/>
            <w:vMerge/>
            <w:tcBorders>
              <w:top w:val="dotted" w:sz="4" w:space="0" w:color="auto"/>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b/>
                <w:bCs/>
                <w:color w:val="FFFFFF"/>
                <w:sz w:val="16"/>
              </w:rPr>
            </w:pPr>
          </w:p>
        </w:tc>
        <w:tc>
          <w:tcPr>
            <w:tcW w:w="764" w:type="pct"/>
            <w:vMerge/>
            <w:tcBorders>
              <w:top w:val="dotted" w:sz="4" w:space="0" w:color="auto"/>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b/>
                <w:bCs/>
                <w:color w:val="FFFFFF"/>
                <w:sz w:val="16"/>
              </w:rPr>
            </w:pPr>
          </w:p>
        </w:tc>
        <w:tc>
          <w:tcPr>
            <w:tcW w:w="708" w:type="pct"/>
            <w:tcBorders>
              <w:top w:val="nil"/>
              <w:left w:val="nil"/>
              <w:bottom w:val="dotted" w:sz="4" w:space="0" w:color="auto"/>
              <w:right w:val="dotted" w:sz="4" w:space="0" w:color="auto"/>
            </w:tcBorders>
            <w:shd w:val="clear" w:color="000000" w:fill="60497A"/>
            <w:vAlign w:val="center"/>
            <w:hideMark/>
          </w:tcPr>
          <w:p w:rsidR="00B12FAC" w:rsidRPr="00B12FAC" w:rsidRDefault="00B12FAC" w:rsidP="00B12FAC">
            <w:pPr>
              <w:spacing w:after="0" w:line="240" w:lineRule="auto"/>
              <w:jc w:val="center"/>
              <w:rPr>
                <w:rFonts w:ascii="Calibri" w:eastAsia="Times New Roman" w:hAnsi="Calibri" w:cs="Times New Roman"/>
                <w:b/>
                <w:bCs/>
                <w:color w:val="FFFFFF"/>
                <w:sz w:val="16"/>
              </w:rPr>
            </w:pPr>
            <w:r w:rsidRPr="00B12FAC">
              <w:rPr>
                <w:rFonts w:ascii="Calibri" w:eastAsia="Times New Roman" w:hAnsi="Calibri" w:cs="Times New Roman"/>
                <w:b/>
                <w:bCs/>
                <w:color w:val="FFFFFF"/>
                <w:sz w:val="16"/>
              </w:rPr>
              <w:t>Fracción</w:t>
            </w:r>
          </w:p>
        </w:tc>
        <w:tc>
          <w:tcPr>
            <w:tcW w:w="819" w:type="pct"/>
            <w:tcBorders>
              <w:top w:val="nil"/>
              <w:left w:val="nil"/>
              <w:bottom w:val="dotted" w:sz="4" w:space="0" w:color="auto"/>
              <w:right w:val="dotted" w:sz="4" w:space="0" w:color="auto"/>
            </w:tcBorders>
            <w:shd w:val="clear" w:color="000000" w:fill="60497A"/>
            <w:vAlign w:val="center"/>
            <w:hideMark/>
          </w:tcPr>
          <w:p w:rsidR="00B12FAC" w:rsidRPr="00B12FAC" w:rsidRDefault="00B12FAC" w:rsidP="00B12FAC">
            <w:pPr>
              <w:spacing w:after="0" w:line="240" w:lineRule="auto"/>
              <w:jc w:val="center"/>
              <w:rPr>
                <w:rFonts w:ascii="Calibri" w:eastAsia="Times New Roman" w:hAnsi="Calibri" w:cs="Times New Roman"/>
                <w:b/>
                <w:bCs/>
                <w:color w:val="FFFFFF"/>
                <w:sz w:val="16"/>
              </w:rPr>
            </w:pPr>
            <w:r w:rsidRPr="00B12FAC">
              <w:rPr>
                <w:rFonts w:ascii="Calibri" w:eastAsia="Times New Roman" w:hAnsi="Calibri" w:cs="Times New Roman"/>
                <w:b/>
                <w:bCs/>
                <w:color w:val="FFFFFF"/>
                <w:sz w:val="16"/>
              </w:rPr>
              <w:t>inciso</w:t>
            </w:r>
          </w:p>
        </w:tc>
        <w:tc>
          <w:tcPr>
            <w:tcW w:w="1090" w:type="pct"/>
            <w:tcBorders>
              <w:top w:val="nil"/>
              <w:left w:val="nil"/>
              <w:bottom w:val="dotted" w:sz="4" w:space="0" w:color="auto"/>
              <w:right w:val="dotted" w:sz="4" w:space="0" w:color="auto"/>
            </w:tcBorders>
            <w:shd w:val="clear" w:color="000000" w:fill="60497A"/>
            <w:vAlign w:val="center"/>
            <w:hideMark/>
          </w:tcPr>
          <w:p w:rsidR="00B12FAC" w:rsidRPr="00B12FAC" w:rsidRDefault="00B12FAC" w:rsidP="00B12FAC">
            <w:pPr>
              <w:spacing w:after="0" w:line="240" w:lineRule="auto"/>
              <w:jc w:val="center"/>
              <w:rPr>
                <w:rFonts w:ascii="Calibri" w:eastAsia="Times New Roman" w:hAnsi="Calibri" w:cs="Times New Roman"/>
                <w:b/>
                <w:bCs/>
                <w:color w:val="FFFFFF"/>
                <w:sz w:val="16"/>
              </w:rPr>
            </w:pPr>
            <w:r w:rsidRPr="00B12FAC">
              <w:rPr>
                <w:rFonts w:ascii="Calibri" w:eastAsia="Times New Roman" w:hAnsi="Calibri" w:cs="Times New Roman"/>
                <w:b/>
                <w:bCs/>
                <w:color w:val="FFFFFF"/>
                <w:sz w:val="16"/>
              </w:rPr>
              <w:t>Aplicabilidad</w:t>
            </w:r>
          </w:p>
        </w:tc>
        <w:tc>
          <w:tcPr>
            <w:tcW w:w="912" w:type="pct"/>
            <w:tcBorders>
              <w:top w:val="nil"/>
              <w:left w:val="nil"/>
              <w:bottom w:val="dotted" w:sz="4" w:space="0" w:color="auto"/>
              <w:right w:val="dotted" w:sz="4" w:space="0" w:color="auto"/>
            </w:tcBorders>
            <w:shd w:val="clear" w:color="000000" w:fill="60497A"/>
            <w:vAlign w:val="center"/>
            <w:hideMark/>
          </w:tcPr>
          <w:p w:rsidR="00B12FAC" w:rsidRPr="00B12FAC" w:rsidRDefault="00B12FAC" w:rsidP="00B12FAC">
            <w:pPr>
              <w:spacing w:after="0" w:line="240" w:lineRule="auto"/>
              <w:jc w:val="center"/>
              <w:rPr>
                <w:rFonts w:ascii="Calibri" w:eastAsia="Times New Roman" w:hAnsi="Calibri" w:cs="Times New Roman"/>
                <w:b/>
                <w:bCs/>
                <w:color w:val="FFFFFF"/>
                <w:sz w:val="16"/>
              </w:rPr>
            </w:pPr>
            <w:r w:rsidRPr="00B12FAC">
              <w:rPr>
                <w:rFonts w:ascii="Calibri" w:eastAsia="Times New Roman" w:hAnsi="Calibri" w:cs="Times New Roman"/>
                <w:b/>
                <w:bCs/>
                <w:color w:val="FFFFFF"/>
                <w:sz w:val="16"/>
              </w:rPr>
              <w:t>Área(s) o unidad(es) administrativa(s) genera(n) o posee(n) la información</w:t>
            </w:r>
          </w:p>
        </w:tc>
      </w:tr>
      <w:tr w:rsidR="00B12FAC" w:rsidRPr="00B12FAC" w:rsidTr="00B12FAC">
        <w:trPr>
          <w:trHeight w:val="2700"/>
          <w:jc w:val="center"/>
        </w:trPr>
        <w:tc>
          <w:tcPr>
            <w:tcW w:w="325" w:type="pct"/>
            <w:vMerge w:val="restart"/>
            <w:tcBorders>
              <w:top w:val="nil"/>
              <w:left w:val="dotted" w:sz="4" w:space="0" w:color="auto"/>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r w:rsidRPr="00B12FAC">
              <w:rPr>
                <w:rFonts w:ascii="Calibri" w:eastAsia="Times New Roman" w:hAnsi="Calibri" w:cs="Times New Roman"/>
                <w:color w:val="000000"/>
                <w:sz w:val="16"/>
              </w:rPr>
              <w:t>Federal</w:t>
            </w:r>
          </w:p>
        </w:tc>
        <w:tc>
          <w:tcPr>
            <w:tcW w:w="382" w:type="pct"/>
            <w:vMerge w:val="restart"/>
            <w:tcBorders>
              <w:top w:val="nil"/>
              <w:left w:val="dotted" w:sz="4" w:space="0" w:color="auto"/>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r w:rsidRPr="00B12FAC">
              <w:rPr>
                <w:rFonts w:ascii="Calibri" w:eastAsia="Times New Roman" w:hAnsi="Calibri" w:cs="Times New Roman"/>
                <w:color w:val="000000"/>
                <w:sz w:val="16"/>
              </w:rPr>
              <w:t>Poder Ejecutivo</w:t>
            </w:r>
          </w:p>
        </w:tc>
        <w:tc>
          <w:tcPr>
            <w:tcW w:w="764" w:type="pct"/>
            <w:vMerge w:val="restart"/>
            <w:tcBorders>
              <w:top w:val="nil"/>
              <w:left w:val="dotted" w:sz="4" w:space="0" w:color="auto"/>
              <w:bottom w:val="dotted" w:sz="4" w:space="0" w:color="auto"/>
              <w:right w:val="dotted" w:sz="4" w:space="0" w:color="auto"/>
            </w:tcBorders>
            <w:shd w:val="clear" w:color="auto" w:fill="auto"/>
            <w:vAlign w:val="center"/>
            <w:hideMark/>
          </w:tcPr>
          <w:p w:rsidR="00206736" w:rsidRDefault="00B12FAC" w:rsidP="00206736">
            <w:pPr>
              <w:pStyle w:val="Prrafodelista"/>
              <w:numPr>
                <w:ilvl w:val="0"/>
                <w:numId w:val="14"/>
              </w:numPr>
              <w:spacing w:after="0" w:line="360" w:lineRule="auto"/>
              <w:ind w:left="268" w:hanging="142"/>
              <w:rPr>
                <w:rFonts w:ascii="Calibri" w:eastAsia="Times New Roman" w:hAnsi="Calibri" w:cs="Times New Roman"/>
                <w:color w:val="000000"/>
                <w:sz w:val="16"/>
              </w:rPr>
            </w:pPr>
            <w:r w:rsidRPr="00206736">
              <w:rPr>
                <w:rFonts w:ascii="Calibri" w:eastAsia="Times New Roman" w:hAnsi="Calibri" w:cs="Times New Roman"/>
                <w:color w:val="000000"/>
                <w:sz w:val="16"/>
              </w:rPr>
              <w:t xml:space="preserve"> </w:t>
            </w:r>
            <w:proofErr w:type="spellStart"/>
            <w:r w:rsidRPr="00206736">
              <w:rPr>
                <w:rFonts w:ascii="Calibri" w:eastAsia="Times New Roman" w:hAnsi="Calibri" w:cs="Times New Roman"/>
                <w:color w:val="000000"/>
                <w:sz w:val="16"/>
              </w:rPr>
              <w:t>Administración</w:t>
            </w:r>
            <w:proofErr w:type="spellEnd"/>
            <w:r w:rsidRPr="00206736">
              <w:rPr>
                <w:rFonts w:ascii="Calibri" w:eastAsia="Times New Roman" w:hAnsi="Calibri" w:cs="Times New Roman"/>
                <w:color w:val="000000"/>
                <w:sz w:val="16"/>
              </w:rPr>
              <w:t xml:space="preserve"> </w:t>
            </w:r>
            <w:proofErr w:type="spellStart"/>
            <w:r w:rsidRPr="00206736">
              <w:rPr>
                <w:rFonts w:ascii="Calibri" w:eastAsia="Times New Roman" w:hAnsi="Calibri" w:cs="Times New Roman"/>
                <w:color w:val="000000"/>
                <w:sz w:val="16"/>
              </w:rPr>
              <w:t>Centralizada</w:t>
            </w:r>
            <w:proofErr w:type="spellEnd"/>
          </w:p>
          <w:p w:rsidR="00B12FAC" w:rsidRPr="00957BFE" w:rsidRDefault="00B12FAC" w:rsidP="00957BFE">
            <w:pPr>
              <w:spacing w:after="0" w:line="360" w:lineRule="auto"/>
              <w:ind w:left="126"/>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r w:rsidRPr="00B12FAC">
              <w:rPr>
                <w:rFonts w:ascii="Calibri" w:eastAsia="Times New Roman" w:hAnsi="Calibri" w:cs="Times New Roman"/>
                <w:color w:val="000000"/>
                <w:sz w:val="16"/>
              </w:rPr>
              <w:t>I. En el caso del Poder Ejecutivo Federal, los poderes ejecutivos de las Entidades Federativas, el Órgano Ejecutivo del Distrito Federal y los municipios:</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a)    El Plan Nacional de Desarrollo, los planes estatales de desarrollo o el Programa General de Desarrollo del Distrito Federal, según corresponda;</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2A4155" w:rsidRDefault="00B12FAC" w:rsidP="00957BFE">
            <w:pPr>
              <w:spacing w:after="0" w:line="240" w:lineRule="auto"/>
              <w:jc w:val="center"/>
              <w:rPr>
                <w:rFonts w:ascii="Calibri" w:eastAsia="Times New Roman" w:hAnsi="Calibri" w:cs="Times New Roman"/>
                <w:color w:val="2F2F2F"/>
                <w:sz w:val="20"/>
                <w:szCs w:val="20"/>
              </w:rPr>
            </w:pPr>
            <w:r w:rsidRPr="002A4155">
              <w:rPr>
                <w:rFonts w:ascii="Calibri" w:eastAsia="Times New Roman" w:hAnsi="Calibri" w:cs="Times New Roman"/>
                <w:color w:val="2F2F2F"/>
                <w:sz w:val="20"/>
                <w:szCs w:val="20"/>
              </w:rPr>
              <w:t>Aplica</w:t>
            </w:r>
          </w:p>
          <w:p w:rsidR="002A4155" w:rsidRPr="002A4155" w:rsidRDefault="002A4155" w:rsidP="00957BFE">
            <w:pPr>
              <w:spacing w:after="0" w:line="240" w:lineRule="auto"/>
              <w:jc w:val="center"/>
              <w:rPr>
                <w:rFonts w:ascii="Calibri" w:eastAsia="Times New Roman" w:hAnsi="Calibri" w:cs="Times New Roman"/>
                <w:color w:val="2F2F2F"/>
                <w:sz w:val="20"/>
                <w:szCs w:val="20"/>
              </w:rPr>
            </w:pPr>
          </w:p>
          <w:p w:rsidR="002A4155" w:rsidRPr="002A4155" w:rsidRDefault="002A4155" w:rsidP="00957BFE">
            <w:pPr>
              <w:spacing w:after="0" w:line="240" w:lineRule="auto"/>
              <w:jc w:val="center"/>
              <w:rPr>
                <w:rFonts w:ascii="Calibri" w:eastAsia="Times New Roman" w:hAnsi="Calibri" w:cs="Times New Roman"/>
                <w:color w:val="2F2F2F"/>
                <w:sz w:val="20"/>
                <w:szCs w:val="20"/>
              </w:rPr>
            </w:pPr>
            <w:r w:rsidRPr="002A4155">
              <w:rPr>
                <w:rFonts w:ascii="Calibri" w:eastAsia="Times New Roman" w:hAnsi="Calibri" w:cs="Times New Roman"/>
                <w:color w:val="2F2F2F"/>
                <w:sz w:val="20"/>
                <w:szCs w:val="20"/>
              </w:rPr>
              <w:t>Nota.- Se publica el Plan Estatal de Desarrollo que proviene de Gubernatura</w:t>
            </w:r>
          </w:p>
        </w:tc>
        <w:tc>
          <w:tcPr>
            <w:tcW w:w="912" w:type="pct"/>
            <w:tcBorders>
              <w:top w:val="nil"/>
              <w:left w:val="nil"/>
              <w:bottom w:val="dotted" w:sz="4" w:space="0" w:color="auto"/>
              <w:right w:val="dotted" w:sz="4" w:space="0" w:color="auto"/>
            </w:tcBorders>
            <w:shd w:val="clear" w:color="auto" w:fill="auto"/>
            <w:noWrap/>
            <w:vAlign w:val="bottom"/>
            <w:hideMark/>
          </w:tcPr>
          <w:p w:rsidR="00B12FAC" w:rsidRPr="002A4155" w:rsidRDefault="00957BFE" w:rsidP="002A4155">
            <w:pPr>
              <w:spacing w:after="0" w:line="240" w:lineRule="auto"/>
              <w:jc w:val="center"/>
              <w:rPr>
                <w:rFonts w:ascii="Calibri" w:eastAsia="Times New Roman" w:hAnsi="Calibri" w:cs="Times New Roman"/>
                <w:color w:val="000000"/>
                <w:sz w:val="20"/>
                <w:szCs w:val="20"/>
              </w:rPr>
            </w:pPr>
            <w:r w:rsidRPr="002A4155">
              <w:rPr>
                <w:rFonts w:ascii="Calibri" w:eastAsia="Times New Roman" w:hAnsi="Calibri" w:cs="Times New Roman"/>
                <w:color w:val="000000"/>
                <w:sz w:val="20"/>
                <w:szCs w:val="20"/>
              </w:rPr>
              <w:t>Gubernatura.</w:t>
            </w:r>
          </w:p>
        </w:tc>
      </w:tr>
      <w:tr w:rsidR="00B12FAC" w:rsidRPr="002A4155" w:rsidTr="00B12FAC">
        <w:trPr>
          <w:trHeight w:val="6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b)    El presupuesto de egresos y las fórmulas de distribución de los recursos otorgados;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957BFE" w:rsidP="00B12FAC">
            <w:pPr>
              <w:spacing w:after="0" w:line="240" w:lineRule="auto"/>
              <w:jc w:val="center"/>
              <w:rPr>
                <w:rFonts w:ascii="Calibri" w:eastAsia="Times New Roman" w:hAnsi="Calibri" w:cs="Times New Roman"/>
                <w:color w:val="2F2F2F"/>
                <w:sz w:val="16"/>
              </w:rPr>
            </w:pPr>
            <w:r w:rsidRPr="005973D8">
              <w:rPr>
                <w:rFonts w:ascii="Calibri" w:eastAsia="Times New Roman" w:hAnsi="Calibri" w:cs="Times New Roman"/>
                <w:bCs/>
                <w:sz w:val="20"/>
                <w:szCs w:val="20"/>
              </w:rPr>
              <w:t>NO Aplica</w:t>
            </w:r>
            <w:r>
              <w:rPr>
                <w:rFonts w:ascii="Calibri" w:eastAsia="Times New Roman" w:hAnsi="Calibri" w:cs="Times New Roman"/>
                <w:bCs/>
                <w:sz w:val="20"/>
                <w:szCs w:val="20"/>
              </w:rPr>
              <w:t>, Conforme al artículo 26 de la Ley Orgánica del Poder Ejecutivo y al Reglamento Interior de la Secretaría de la Contraloría General, no se encuentra dentro de las atribuciones de la Secretaría de la Contraloría General.</w:t>
            </w:r>
          </w:p>
        </w:tc>
        <w:tc>
          <w:tcPr>
            <w:tcW w:w="912" w:type="pct"/>
            <w:tcBorders>
              <w:top w:val="nil"/>
              <w:left w:val="nil"/>
              <w:bottom w:val="dotted" w:sz="4" w:space="0" w:color="auto"/>
              <w:right w:val="dotted" w:sz="4" w:space="0" w:color="auto"/>
            </w:tcBorders>
            <w:shd w:val="clear" w:color="auto" w:fill="auto"/>
            <w:noWrap/>
            <w:vAlign w:val="bottom"/>
            <w:hideMark/>
          </w:tcPr>
          <w:p w:rsidR="00B12FAC" w:rsidRPr="002A4155" w:rsidRDefault="00B12FAC" w:rsidP="00B12FAC">
            <w:pPr>
              <w:spacing w:after="0" w:line="240" w:lineRule="auto"/>
              <w:rPr>
                <w:rFonts w:ascii="Calibri" w:eastAsia="Times New Roman" w:hAnsi="Calibri" w:cs="Times New Roman"/>
                <w:color w:val="000000"/>
                <w:sz w:val="20"/>
                <w:szCs w:val="20"/>
              </w:rPr>
            </w:pPr>
            <w:r w:rsidRPr="002A4155">
              <w:rPr>
                <w:rFonts w:ascii="Calibri" w:eastAsia="Times New Roman" w:hAnsi="Calibri" w:cs="Times New Roman"/>
                <w:color w:val="000000"/>
                <w:sz w:val="20"/>
                <w:szCs w:val="20"/>
              </w:rPr>
              <w:t> </w:t>
            </w:r>
            <w:r w:rsidR="00957BFE" w:rsidRPr="002A4155">
              <w:rPr>
                <w:rFonts w:ascii="Calibri" w:eastAsia="Times New Roman" w:hAnsi="Calibri" w:cs="Times New Roman"/>
                <w:color w:val="000000"/>
                <w:sz w:val="20"/>
                <w:szCs w:val="20"/>
              </w:rPr>
              <w:t>Secretaría de Hacienda</w:t>
            </w:r>
          </w:p>
        </w:tc>
      </w:tr>
      <w:tr w:rsidR="00B12FAC" w:rsidRPr="00B12FAC" w:rsidTr="00B12FAC">
        <w:trPr>
          <w:trHeight w:val="12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c)     El listado de expropiaciones decretadas y ejecutadas que incluya, cuando menos, la fecha de expropiación, el domicilio y la causa de utilidad pública y las ocupaciones superficiales;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957BFE" w:rsidP="00B12FAC">
            <w:pPr>
              <w:spacing w:after="0" w:line="240" w:lineRule="auto"/>
              <w:jc w:val="center"/>
              <w:rPr>
                <w:rFonts w:ascii="Calibri" w:eastAsia="Times New Roman" w:hAnsi="Calibri" w:cs="Times New Roman"/>
                <w:color w:val="2F2F2F"/>
                <w:sz w:val="16"/>
              </w:rPr>
            </w:pPr>
            <w:r w:rsidRPr="005973D8">
              <w:rPr>
                <w:rFonts w:ascii="Calibri" w:eastAsia="Times New Roman" w:hAnsi="Calibri" w:cs="Times New Roman"/>
                <w:bCs/>
                <w:sz w:val="20"/>
                <w:szCs w:val="20"/>
              </w:rPr>
              <w:t>NO Aplica</w:t>
            </w:r>
            <w:r>
              <w:rPr>
                <w:rFonts w:ascii="Calibri" w:eastAsia="Times New Roman" w:hAnsi="Calibri" w:cs="Times New Roman"/>
                <w:bCs/>
                <w:sz w:val="20"/>
                <w:szCs w:val="20"/>
              </w:rPr>
              <w:t>, Conforme al artículo 26 de la Ley Orgánica del Poder Ejecutivo y al Reglamento Interior de la Secretaría de la Contraloría General, no se encuentra dentro de las atribuciones de la Secretaría de la Contraloría General.</w:t>
            </w:r>
          </w:p>
        </w:tc>
        <w:tc>
          <w:tcPr>
            <w:tcW w:w="912" w:type="pct"/>
            <w:tcBorders>
              <w:top w:val="nil"/>
              <w:left w:val="nil"/>
              <w:bottom w:val="dotted" w:sz="4" w:space="0" w:color="auto"/>
              <w:right w:val="dotted" w:sz="4" w:space="0" w:color="auto"/>
            </w:tcBorders>
            <w:shd w:val="clear" w:color="auto" w:fill="auto"/>
            <w:noWrap/>
            <w:vAlign w:val="bottom"/>
            <w:hideMark/>
          </w:tcPr>
          <w:p w:rsidR="00B12FAC" w:rsidRPr="002A4155" w:rsidRDefault="00957BFE" w:rsidP="002A4155">
            <w:pPr>
              <w:spacing w:after="0" w:line="240" w:lineRule="auto"/>
              <w:jc w:val="center"/>
              <w:rPr>
                <w:rFonts w:ascii="Calibri" w:eastAsia="Times New Roman" w:hAnsi="Calibri" w:cs="Times New Roman"/>
                <w:color w:val="000000"/>
                <w:sz w:val="18"/>
                <w:szCs w:val="18"/>
              </w:rPr>
            </w:pPr>
            <w:r w:rsidRPr="002A4155">
              <w:rPr>
                <w:rFonts w:ascii="Calibri" w:eastAsia="Times New Roman" w:hAnsi="Calibri" w:cs="Times New Roman"/>
                <w:color w:val="000000"/>
                <w:sz w:val="18"/>
                <w:szCs w:val="18"/>
              </w:rPr>
              <w:t>Secretaría de Gobierno</w:t>
            </w:r>
          </w:p>
        </w:tc>
      </w:tr>
      <w:tr w:rsidR="00B12FAC" w:rsidRPr="00B12FAC" w:rsidTr="00B12FAC">
        <w:trPr>
          <w:trHeight w:val="18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d)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957BFE" w:rsidP="00B12FAC">
            <w:pPr>
              <w:spacing w:after="0" w:line="240" w:lineRule="auto"/>
              <w:jc w:val="center"/>
              <w:rPr>
                <w:rFonts w:ascii="Calibri" w:eastAsia="Times New Roman" w:hAnsi="Calibri" w:cs="Times New Roman"/>
                <w:color w:val="2F2F2F"/>
                <w:sz w:val="16"/>
              </w:rPr>
            </w:pPr>
            <w:r w:rsidRPr="005973D8">
              <w:rPr>
                <w:rFonts w:ascii="Calibri" w:eastAsia="Times New Roman" w:hAnsi="Calibri" w:cs="Times New Roman"/>
                <w:bCs/>
                <w:sz w:val="20"/>
                <w:szCs w:val="20"/>
              </w:rPr>
              <w:t>NO Aplica</w:t>
            </w:r>
            <w:r>
              <w:rPr>
                <w:rFonts w:ascii="Calibri" w:eastAsia="Times New Roman" w:hAnsi="Calibri" w:cs="Times New Roman"/>
                <w:bCs/>
                <w:sz w:val="20"/>
                <w:szCs w:val="20"/>
              </w:rPr>
              <w:t>, Conforme al artículo 26 de la Ley Orgánica del Poder Ejecutivo y al Reglamento Interior de la Secretaría de la Contraloría General, no se encuentra dentro de las atribuciones de la Secretaría de la Contraloría General.</w:t>
            </w:r>
          </w:p>
        </w:tc>
        <w:tc>
          <w:tcPr>
            <w:tcW w:w="912" w:type="pct"/>
            <w:tcBorders>
              <w:top w:val="nil"/>
              <w:left w:val="nil"/>
              <w:bottom w:val="dotted" w:sz="4" w:space="0" w:color="auto"/>
              <w:right w:val="dotted" w:sz="4" w:space="0" w:color="auto"/>
            </w:tcBorders>
            <w:shd w:val="clear" w:color="auto" w:fill="auto"/>
            <w:noWrap/>
            <w:vAlign w:val="bottom"/>
            <w:hideMark/>
          </w:tcPr>
          <w:p w:rsidR="00B12FAC" w:rsidRPr="00B12FAC" w:rsidRDefault="00B12FAC" w:rsidP="00B12FAC">
            <w:pPr>
              <w:spacing w:after="0" w:line="240" w:lineRule="auto"/>
              <w:rPr>
                <w:rFonts w:ascii="Calibri" w:eastAsia="Times New Roman" w:hAnsi="Calibri" w:cs="Times New Roman"/>
                <w:color w:val="000000"/>
                <w:sz w:val="16"/>
              </w:rPr>
            </w:pPr>
            <w:r w:rsidRPr="00B12FAC">
              <w:rPr>
                <w:rFonts w:ascii="Calibri" w:eastAsia="Times New Roman" w:hAnsi="Calibri" w:cs="Times New Roman"/>
                <w:color w:val="000000"/>
                <w:sz w:val="16"/>
              </w:rPr>
              <w:t> </w:t>
            </w:r>
          </w:p>
        </w:tc>
      </w:tr>
      <w:tr w:rsidR="00B12FAC" w:rsidRPr="00B12FAC" w:rsidTr="00B12FAC">
        <w:trPr>
          <w:trHeight w:val="15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e)    Los nombres de las personas a quienes se les habilitó para ejercer como corredores y notarios públicos, así como sus datos de contacto, la información relacionada con el proceso de otorgamiento de la patente y las sanciones que se les hubieran aplicado;</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957BFE" w:rsidP="00B12FAC">
            <w:pPr>
              <w:spacing w:after="0" w:line="240" w:lineRule="auto"/>
              <w:jc w:val="center"/>
              <w:rPr>
                <w:rFonts w:ascii="Calibri" w:eastAsia="Times New Roman" w:hAnsi="Calibri" w:cs="Times New Roman"/>
                <w:color w:val="2F2F2F"/>
                <w:sz w:val="16"/>
              </w:rPr>
            </w:pPr>
            <w:r w:rsidRPr="005973D8">
              <w:rPr>
                <w:rFonts w:ascii="Calibri" w:eastAsia="Times New Roman" w:hAnsi="Calibri" w:cs="Times New Roman"/>
                <w:bCs/>
                <w:sz w:val="20"/>
                <w:szCs w:val="20"/>
              </w:rPr>
              <w:t>NO Aplica</w:t>
            </w:r>
            <w:r>
              <w:rPr>
                <w:rFonts w:ascii="Calibri" w:eastAsia="Times New Roman" w:hAnsi="Calibri" w:cs="Times New Roman"/>
                <w:bCs/>
                <w:sz w:val="20"/>
                <w:szCs w:val="20"/>
              </w:rPr>
              <w:t>, Conforme al artículo 26 de la Ley Orgánica del Poder Ejecutivo y al Reglamento Interior de la Secretaría de la Contraloría General, no se encuentra dentro de las atribuciones de la Secretaría de la Contraloría General.</w:t>
            </w:r>
          </w:p>
        </w:tc>
        <w:tc>
          <w:tcPr>
            <w:tcW w:w="912" w:type="pct"/>
            <w:tcBorders>
              <w:top w:val="nil"/>
              <w:left w:val="nil"/>
              <w:bottom w:val="dotted" w:sz="4" w:space="0" w:color="auto"/>
              <w:right w:val="dotted" w:sz="4" w:space="0" w:color="auto"/>
            </w:tcBorders>
            <w:shd w:val="clear" w:color="auto" w:fill="auto"/>
            <w:noWrap/>
            <w:vAlign w:val="bottom"/>
            <w:hideMark/>
          </w:tcPr>
          <w:p w:rsidR="00B12FAC" w:rsidRPr="00B12FAC" w:rsidRDefault="00B12FAC" w:rsidP="00B12FAC">
            <w:pPr>
              <w:spacing w:after="0" w:line="240" w:lineRule="auto"/>
              <w:rPr>
                <w:rFonts w:ascii="Calibri" w:eastAsia="Times New Roman" w:hAnsi="Calibri" w:cs="Times New Roman"/>
                <w:color w:val="000000"/>
                <w:sz w:val="16"/>
              </w:rPr>
            </w:pPr>
            <w:r w:rsidRPr="00B12FAC">
              <w:rPr>
                <w:rFonts w:ascii="Calibri" w:eastAsia="Times New Roman" w:hAnsi="Calibri" w:cs="Times New Roman"/>
                <w:color w:val="000000"/>
                <w:sz w:val="16"/>
              </w:rPr>
              <w:t> </w:t>
            </w:r>
          </w:p>
        </w:tc>
      </w:tr>
      <w:tr w:rsidR="00B12FAC" w:rsidRPr="00B12FAC" w:rsidTr="00B12FAC">
        <w:trPr>
          <w:trHeight w:val="12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f)     La información detallada que contengan los planes de desarrollo urbano, ordenamiento territorial y ecológico, los tipos y usos de suelo, licencias de uso y construcción otorgadas por los gobiernos municipales, y</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957BFE" w:rsidP="00B12FAC">
            <w:pPr>
              <w:spacing w:after="0" w:line="240" w:lineRule="auto"/>
              <w:jc w:val="center"/>
              <w:rPr>
                <w:rFonts w:ascii="Calibri" w:eastAsia="Times New Roman" w:hAnsi="Calibri" w:cs="Times New Roman"/>
                <w:color w:val="2F2F2F"/>
                <w:sz w:val="16"/>
              </w:rPr>
            </w:pPr>
            <w:r w:rsidRPr="005973D8">
              <w:rPr>
                <w:rFonts w:ascii="Calibri" w:eastAsia="Times New Roman" w:hAnsi="Calibri" w:cs="Times New Roman"/>
                <w:bCs/>
                <w:sz w:val="20"/>
                <w:szCs w:val="20"/>
              </w:rPr>
              <w:t>NO Aplica</w:t>
            </w:r>
            <w:r>
              <w:rPr>
                <w:rFonts w:ascii="Calibri" w:eastAsia="Times New Roman" w:hAnsi="Calibri" w:cs="Times New Roman"/>
                <w:bCs/>
                <w:sz w:val="20"/>
                <w:szCs w:val="20"/>
              </w:rPr>
              <w:t>, Conforme al artículo 26 de la Ley Orgánica del Poder Ejecutivo y al Reglamento Interior de la Secretaría de la Contraloría General, no se encuentra dentro de las atribuciones de la Secretaría de la Contraloría General.</w:t>
            </w:r>
          </w:p>
        </w:tc>
        <w:tc>
          <w:tcPr>
            <w:tcW w:w="912" w:type="pct"/>
            <w:tcBorders>
              <w:top w:val="nil"/>
              <w:left w:val="nil"/>
              <w:bottom w:val="dotted" w:sz="4" w:space="0" w:color="auto"/>
              <w:right w:val="dotted" w:sz="4" w:space="0" w:color="auto"/>
            </w:tcBorders>
            <w:shd w:val="clear" w:color="auto" w:fill="auto"/>
            <w:noWrap/>
            <w:vAlign w:val="bottom"/>
            <w:hideMark/>
          </w:tcPr>
          <w:p w:rsidR="00B12FAC" w:rsidRPr="00B12FAC" w:rsidRDefault="00B12FAC" w:rsidP="00B12FAC">
            <w:pPr>
              <w:spacing w:after="0" w:line="240" w:lineRule="auto"/>
              <w:rPr>
                <w:rFonts w:ascii="Calibri" w:eastAsia="Times New Roman" w:hAnsi="Calibri" w:cs="Times New Roman"/>
                <w:color w:val="000000"/>
                <w:sz w:val="16"/>
              </w:rPr>
            </w:pPr>
            <w:r w:rsidRPr="00B12FAC">
              <w:rPr>
                <w:rFonts w:ascii="Calibri" w:eastAsia="Times New Roman" w:hAnsi="Calibri" w:cs="Times New Roman"/>
                <w:color w:val="000000"/>
                <w:sz w:val="16"/>
              </w:rPr>
              <w:t> </w:t>
            </w:r>
          </w:p>
        </w:tc>
      </w:tr>
      <w:tr w:rsidR="00B12FAC" w:rsidRPr="00B12FAC" w:rsidTr="00B12FAC">
        <w:trPr>
          <w:trHeight w:val="21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proofErr w:type="gramStart"/>
            <w:r w:rsidRPr="00B12FAC">
              <w:rPr>
                <w:rFonts w:ascii="Calibri" w:eastAsia="Times New Roman" w:hAnsi="Calibri" w:cs="Times New Roman"/>
                <w:color w:val="000000"/>
                <w:sz w:val="16"/>
              </w:rPr>
              <w:t>I.</w:t>
            </w:r>
            <w:proofErr w:type="gramEnd"/>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g)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957BFE" w:rsidP="00B12FAC">
            <w:pPr>
              <w:spacing w:after="0" w:line="240" w:lineRule="auto"/>
              <w:jc w:val="center"/>
              <w:rPr>
                <w:rFonts w:ascii="Calibri" w:eastAsia="Times New Roman" w:hAnsi="Calibri" w:cs="Times New Roman"/>
                <w:color w:val="2F2F2F"/>
                <w:sz w:val="16"/>
              </w:rPr>
            </w:pPr>
            <w:r w:rsidRPr="005973D8">
              <w:rPr>
                <w:rFonts w:ascii="Calibri" w:eastAsia="Times New Roman" w:hAnsi="Calibri" w:cs="Times New Roman"/>
                <w:bCs/>
                <w:sz w:val="20"/>
                <w:szCs w:val="20"/>
              </w:rPr>
              <w:t>NO Aplica</w:t>
            </w:r>
            <w:r>
              <w:rPr>
                <w:rFonts w:ascii="Calibri" w:eastAsia="Times New Roman" w:hAnsi="Calibri" w:cs="Times New Roman"/>
                <w:bCs/>
                <w:sz w:val="20"/>
                <w:szCs w:val="20"/>
              </w:rPr>
              <w:t>, Conforme al artículo 26 de la Ley Orgánica del Poder Ejecutivo y al Reglamento Interior de la Secretaría de la Contraloría General, no se encuentra dentro de las atribuciones de la Secretaría de la Contraloría General.</w:t>
            </w:r>
          </w:p>
        </w:tc>
        <w:tc>
          <w:tcPr>
            <w:tcW w:w="912" w:type="pct"/>
            <w:tcBorders>
              <w:top w:val="nil"/>
              <w:left w:val="nil"/>
              <w:bottom w:val="dotted" w:sz="4" w:space="0" w:color="auto"/>
              <w:right w:val="dotted" w:sz="4" w:space="0" w:color="auto"/>
            </w:tcBorders>
            <w:shd w:val="clear" w:color="auto" w:fill="auto"/>
            <w:noWrap/>
            <w:vAlign w:val="bottom"/>
            <w:hideMark/>
          </w:tcPr>
          <w:p w:rsidR="00B12FAC" w:rsidRPr="00B12FAC" w:rsidRDefault="00B12FAC" w:rsidP="00B12FAC">
            <w:pPr>
              <w:spacing w:after="0" w:line="240" w:lineRule="auto"/>
              <w:rPr>
                <w:rFonts w:ascii="Calibri" w:eastAsia="Times New Roman" w:hAnsi="Calibri" w:cs="Times New Roman"/>
                <w:color w:val="000000"/>
                <w:sz w:val="16"/>
              </w:rPr>
            </w:pPr>
            <w:r w:rsidRPr="00B12FAC">
              <w:rPr>
                <w:rFonts w:ascii="Calibri" w:eastAsia="Times New Roman" w:hAnsi="Calibri" w:cs="Times New Roman"/>
                <w:color w:val="000000"/>
                <w:sz w:val="16"/>
              </w:rPr>
              <w:t> </w:t>
            </w:r>
          </w:p>
        </w:tc>
      </w:tr>
      <w:tr w:rsidR="00B12FAC" w:rsidRPr="00B12FAC" w:rsidTr="00B12FAC">
        <w:trPr>
          <w:trHeight w:val="9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r w:rsidRPr="00B12FAC">
              <w:rPr>
                <w:rFonts w:ascii="Calibri" w:eastAsia="Times New Roman" w:hAnsi="Calibri" w:cs="Times New Roman"/>
                <w:color w:val="000000"/>
                <w:sz w:val="16"/>
              </w:rPr>
              <w:t>II. Adicionalmente, en el caso de los municipios:</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a)    El contenido de las gacetas municipales, las cuales deberán comprender los resolutivos y acuerdos aprobados por los ayuntamientos, y</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957BFE" w:rsidP="00B12FAC">
            <w:pPr>
              <w:spacing w:after="0" w:line="240" w:lineRule="auto"/>
              <w:jc w:val="center"/>
              <w:rPr>
                <w:rFonts w:ascii="Calibri" w:eastAsia="Times New Roman" w:hAnsi="Calibri" w:cs="Times New Roman"/>
                <w:color w:val="2F2F2F"/>
                <w:sz w:val="16"/>
              </w:rPr>
            </w:pPr>
            <w:r w:rsidRPr="005973D8">
              <w:rPr>
                <w:rFonts w:ascii="Calibri" w:eastAsia="Times New Roman" w:hAnsi="Calibri" w:cs="Times New Roman"/>
                <w:bCs/>
                <w:sz w:val="20"/>
                <w:szCs w:val="20"/>
              </w:rPr>
              <w:t>NO Aplica</w:t>
            </w:r>
            <w:r>
              <w:rPr>
                <w:rFonts w:ascii="Calibri" w:eastAsia="Times New Roman" w:hAnsi="Calibri" w:cs="Times New Roman"/>
                <w:bCs/>
                <w:sz w:val="20"/>
                <w:szCs w:val="20"/>
              </w:rPr>
              <w:t>, Conforme al artículo 26 de la Ley Orgánica del Poder Ejecutivo y al Reglamento Interior de la Secretaría de la Contraloría General, no se encuentra dentro de las atribuciones de la Secretaría de la Contraloría General.</w:t>
            </w:r>
          </w:p>
        </w:tc>
        <w:tc>
          <w:tcPr>
            <w:tcW w:w="912" w:type="pct"/>
            <w:tcBorders>
              <w:top w:val="nil"/>
              <w:left w:val="nil"/>
              <w:bottom w:val="dotted" w:sz="4" w:space="0" w:color="auto"/>
              <w:right w:val="dotted" w:sz="4" w:space="0" w:color="auto"/>
            </w:tcBorders>
            <w:shd w:val="clear" w:color="auto" w:fill="auto"/>
            <w:noWrap/>
            <w:vAlign w:val="bottom"/>
            <w:hideMark/>
          </w:tcPr>
          <w:p w:rsidR="00B12FAC" w:rsidRPr="00B12FAC" w:rsidRDefault="00B12FAC" w:rsidP="00B12FAC">
            <w:pPr>
              <w:spacing w:after="0" w:line="240" w:lineRule="auto"/>
              <w:rPr>
                <w:rFonts w:ascii="Calibri" w:eastAsia="Times New Roman" w:hAnsi="Calibri" w:cs="Times New Roman"/>
                <w:color w:val="000000"/>
                <w:sz w:val="16"/>
              </w:rPr>
            </w:pPr>
            <w:r w:rsidRPr="00B12FAC">
              <w:rPr>
                <w:rFonts w:ascii="Calibri" w:eastAsia="Times New Roman" w:hAnsi="Calibri" w:cs="Times New Roman"/>
                <w:color w:val="000000"/>
                <w:sz w:val="16"/>
              </w:rPr>
              <w:t> </w:t>
            </w:r>
          </w:p>
        </w:tc>
      </w:tr>
      <w:tr w:rsidR="00B12FAC" w:rsidRPr="00B12FAC" w:rsidTr="00B12FAC">
        <w:trPr>
          <w:trHeight w:val="1200"/>
          <w:jc w:val="center"/>
        </w:trPr>
        <w:tc>
          <w:tcPr>
            <w:tcW w:w="325"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12FAC" w:rsidRPr="00B12FAC" w:rsidRDefault="00B12FAC" w:rsidP="00B12FAC">
            <w:pPr>
              <w:spacing w:after="0" w:line="240" w:lineRule="auto"/>
              <w:rPr>
                <w:rFonts w:ascii="Calibri" w:eastAsia="Times New Roman" w:hAnsi="Calibri" w:cs="Times New Roman"/>
                <w:color w:val="000000"/>
                <w:sz w:val="16"/>
              </w:rPr>
            </w:pPr>
          </w:p>
        </w:tc>
        <w:tc>
          <w:tcPr>
            <w:tcW w:w="708"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jc w:val="center"/>
              <w:rPr>
                <w:rFonts w:ascii="Calibri" w:eastAsia="Times New Roman" w:hAnsi="Calibri" w:cs="Times New Roman"/>
                <w:color w:val="000000"/>
                <w:sz w:val="16"/>
              </w:rPr>
            </w:pPr>
            <w:r w:rsidRPr="00B12FAC">
              <w:rPr>
                <w:rFonts w:ascii="Calibri" w:eastAsia="Times New Roman" w:hAnsi="Calibri" w:cs="Times New Roman"/>
                <w:color w:val="000000"/>
                <w:sz w:val="16"/>
              </w:rPr>
              <w:t>II.</w:t>
            </w:r>
            <w:r w:rsidRPr="00B12FAC">
              <w:rPr>
                <w:rFonts w:ascii="Calibri" w:eastAsia="Times New Roman" w:hAnsi="Calibri" w:cs="Times New Roman"/>
                <w:color w:val="000000"/>
                <w:sz w:val="16"/>
              </w:rPr>
              <w:br/>
              <w:t>…</w:t>
            </w:r>
          </w:p>
        </w:tc>
        <w:tc>
          <w:tcPr>
            <w:tcW w:w="819" w:type="pct"/>
            <w:tcBorders>
              <w:top w:val="nil"/>
              <w:left w:val="nil"/>
              <w:bottom w:val="dotted" w:sz="4" w:space="0" w:color="auto"/>
              <w:right w:val="dotted" w:sz="4" w:space="0" w:color="auto"/>
            </w:tcBorders>
            <w:shd w:val="clear" w:color="auto" w:fill="auto"/>
            <w:vAlign w:val="center"/>
            <w:hideMark/>
          </w:tcPr>
          <w:p w:rsidR="00B12FAC" w:rsidRPr="00B12FAC" w:rsidRDefault="00B12FAC" w:rsidP="00B12FAC">
            <w:pPr>
              <w:spacing w:after="0" w:line="240" w:lineRule="auto"/>
              <w:rPr>
                <w:rFonts w:ascii="Calibri" w:eastAsia="Times New Roman" w:hAnsi="Calibri" w:cs="Times New Roman"/>
                <w:color w:val="2F2F2F"/>
                <w:sz w:val="16"/>
              </w:rPr>
            </w:pPr>
            <w:r w:rsidRPr="00B12FAC">
              <w:rPr>
                <w:rFonts w:ascii="Calibri" w:eastAsia="Times New Roman" w:hAnsi="Calibri" w:cs="Times New Roman"/>
                <w:color w:val="2F2F2F"/>
                <w:sz w:val="16"/>
              </w:rPr>
              <w:t>b)    Las actas de sesiones de cabildo, los controles de asistencia de los integrantes del Ayuntamiento a las sesiones de cabildo y el sentido de votación de los miembros del cabildo sobre las iniciativas o acuerdos.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B12FAC" w:rsidRDefault="00957BFE" w:rsidP="00B12FAC">
            <w:pPr>
              <w:spacing w:after="0" w:line="240" w:lineRule="auto"/>
              <w:jc w:val="center"/>
              <w:rPr>
                <w:rFonts w:ascii="Calibri" w:eastAsia="Times New Roman" w:hAnsi="Calibri" w:cs="Times New Roman"/>
                <w:color w:val="2F2F2F"/>
                <w:sz w:val="16"/>
              </w:rPr>
            </w:pPr>
            <w:r w:rsidRPr="005973D8">
              <w:rPr>
                <w:rFonts w:ascii="Calibri" w:eastAsia="Times New Roman" w:hAnsi="Calibri" w:cs="Times New Roman"/>
                <w:bCs/>
                <w:sz w:val="20"/>
                <w:szCs w:val="20"/>
              </w:rPr>
              <w:t>NO Aplica</w:t>
            </w:r>
            <w:r>
              <w:rPr>
                <w:rFonts w:ascii="Calibri" w:eastAsia="Times New Roman" w:hAnsi="Calibri" w:cs="Times New Roman"/>
                <w:bCs/>
                <w:sz w:val="20"/>
                <w:szCs w:val="20"/>
              </w:rPr>
              <w:t>, Conforme al artículo 26 de la Ley Orgánica del Poder Ejecutivo y al Reglamento Interior de la Secretaría de la Contraloría General, no se encuentra dentro de las atribuciones de la Secretaría de la Contraloría General.</w:t>
            </w:r>
          </w:p>
        </w:tc>
        <w:tc>
          <w:tcPr>
            <w:tcW w:w="912" w:type="pct"/>
            <w:tcBorders>
              <w:top w:val="nil"/>
              <w:left w:val="nil"/>
              <w:bottom w:val="dotted" w:sz="4" w:space="0" w:color="auto"/>
              <w:right w:val="dotted" w:sz="4" w:space="0" w:color="auto"/>
            </w:tcBorders>
            <w:shd w:val="clear" w:color="auto" w:fill="auto"/>
            <w:noWrap/>
            <w:vAlign w:val="bottom"/>
            <w:hideMark/>
          </w:tcPr>
          <w:p w:rsidR="00B12FAC" w:rsidRPr="00B12FAC" w:rsidRDefault="00B12FAC" w:rsidP="00B12FAC">
            <w:pPr>
              <w:spacing w:after="0" w:line="240" w:lineRule="auto"/>
              <w:rPr>
                <w:rFonts w:ascii="Calibri" w:eastAsia="Times New Roman" w:hAnsi="Calibri" w:cs="Times New Roman"/>
                <w:color w:val="000000"/>
                <w:sz w:val="16"/>
              </w:rPr>
            </w:pPr>
            <w:r w:rsidRPr="00B12FAC">
              <w:rPr>
                <w:rFonts w:ascii="Calibri" w:eastAsia="Times New Roman" w:hAnsi="Calibri" w:cs="Times New Roman"/>
                <w:color w:val="000000"/>
                <w:sz w:val="16"/>
              </w:rPr>
              <w:t> </w:t>
            </w:r>
          </w:p>
        </w:tc>
      </w:tr>
    </w:tbl>
    <w:p w:rsidR="00B12FAC" w:rsidRDefault="00B12FAC" w:rsidP="00667E9A">
      <w:pPr>
        <w:spacing w:after="0" w:line="240" w:lineRule="auto"/>
        <w:ind w:left="851"/>
        <w:jc w:val="both"/>
        <w:rPr>
          <w:rFonts w:ascii="Calibri" w:eastAsia="Times New Roman" w:hAnsi="Calibri" w:cs="Times New Roman"/>
          <w:b/>
          <w:bCs/>
          <w:color w:val="60497A"/>
        </w:rPr>
      </w:pPr>
    </w:p>
    <w:sectPr w:rsidR="00B12FAC" w:rsidSect="007F33D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671C"/>
    <w:multiLevelType w:val="hybridMultilevel"/>
    <w:tmpl w:val="D7987D7E"/>
    <w:lvl w:ilvl="0" w:tplc="7C04359A">
      <w:start w:val="2"/>
      <w:numFmt w:val="upp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420C28"/>
    <w:multiLevelType w:val="hybridMultilevel"/>
    <w:tmpl w:val="17DA54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7A5BAE"/>
    <w:multiLevelType w:val="hybridMultilevel"/>
    <w:tmpl w:val="41303510"/>
    <w:lvl w:ilvl="0" w:tplc="F75043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471DC9"/>
    <w:multiLevelType w:val="hybridMultilevel"/>
    <w:tmpl w:val="3D7C12D8"/>
    <w:lvl w:ilvl="0" w:tplc="106A389C">
      <w:start w:val="1"/>
      <w:numFmt w:val="lowerLetter"/>
      <w:lvlText w:val="%1)"/>
      <w:lvlJc w:val="left"/>
      <w:pPr>
        <w:ind w:left="573" w:hanging="360"/>
      </w:pPr>
      <w:rPr>
        <w:rFonts w:hint="default"/>
        <w:b w:val="0"/>
      </w:rPr>
    </w:lvl>
    <w:lvl w:ilvl="1" w:tplc="080A0019" w:tentative="1">
      <w:start w:val="1"/>
      <w:numFmt w:val="lowerLetter"/>
      <w:lvlText w:val="%2."/>
      <w:lvlJc w:val="left"/>
      <w:pPr>
        <w:ind w:left="1293" w:hanging="360"/>
      </w:pPr>
    </w:lvl>
    <w:lvl w:ilvl="2" w:tplc="080A001B" w:tentative="1">
      <w:start w:val="1"/>
      <w:numFmt w:val="lowerRoman"/>
      <w:lvlText w:val="%3."/>
      <w:lvlJc w:val="right"/>
      <w:pPr>
        <w:ind w:left="2013" w:hanging="180"/>
      </w:pPr>
    </w:lvl>
    <w:lvl w:ilvl="3" w:tplc="080A000F" w:tentative="1">
      <w:start w:val="1"/>
      <w:numFmt w:val="decimal"/>
      <w:lvlText w:val="%4."/>
      <w:lvlJc w:val="left"/>
      <w:pPr>
        <w:ind w:left="2733" w:hanging="360"/>
      </w:pPr>
    </w:lvl>
    <w:lvl w:ilvl="4" w:tplc="080A0019" w:tentative="1">
      <w:start w:val="1"/>
      <w:numFmt w:val="lowerLetter"/>
      <w:lvlText w:val="%5."/>
      <w:lvlJc w:val="left"/>
      <w:pPr>
        <w:ind w:left="3453" w:hanging="360"/>
      </w:pPr>
    </w:lvl>
    <w:lvl w:ilvl="5" w:tplc="080A001B" w:tentative="1">
      <w:start w:val="1"/>
      <w:numFmt w:val="lowerRoman"/>
      <w:lvlText w:val="%6."/>
      <w:lvlJc w:val="right"/>
      <w:pPr>
        <w:ind w:left="4173" w:hanging="180"/>
      </w:pPr>
    </w:lvl>
    <w:lvl w:ilvl="6" w:tplc="080A000F" w:tentative="1">
      <w:start w:val="1"/>
      <w:numFmt w:val="decimal"/>
      <w:lvlText w:val="%7."/>
      <w:lvlJc w:val="left"/>
      <w:pPr>
        <w:ind w:left="4893" w:hanging="360"/>
      </w:pPr>
    </w:lvl>
    <w:lvl w:ilvl="7" w:tplc="080A0019" w:tentative="1">
      <w:start w:val="1"/>
      <w:numFmt w:val="lowerLetter"/>
      <w:lvlText w:val="%8."/>
      <w:lvlJc w:val="left"/>
      <w:pPr>
        <w:ind w:left="5613" w:hanging="360"/>
      </w:pPr>
    </w:lvl>
    <w:lvl w:ilvl="8" w:tplc="080A001B" w:tentative="1">
      <w:start w:val="1"/>
      <w:numFmt w:val="lowerRoman"/>
      <w:lvlText w:val="%9."/>
      <w:lvlJc w:val="right"/>
      <w:pPr>
        <w:ind w:left="6333" w:hanging="180"/>
      </w:pPr>
    </w:lvl>
  </w:abstractNum>
  <w:abstractNum w:abstractNumId="4">
    <w:nsid w:val="3B9C0C74"/>
    <w:multiLevelType w:val="hybridMultilevel"/>
    <w:tmpl w:val="E67CE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8FC37B8"/>
    <w:multiLevelType w:val="hybridMultilevel"/>
    <w:tmpl w:val="7D162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A777A05"/>
    <w:multiLevelType w:val="hybridMultilevel"/>
    <w:tmpl w:val="C844821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831820"/>
    <w:multiLevelType w:val="hybridMultilevel"/>
    <w:tmpl w:val="6C18421E"/>
    <w:lvl w:ilvl="0" w:tplc="C8644264">
      <w:start w:val="3"/>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886C33"/>
    <w:multiLevelType w:val="hybridMultilevel"/>
    <w:tmpl w:val="344A57F8"/>
    <w:lvl w:ilvl="0" w:tplc="5D76D8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E96019"/>
    <w:multiLevelType w:val="hybridMultilevel"/>
    <w:tmpl w:val="13E6C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95F6612"/>
    <w:multiLevelType w:val="hybridMultilevel"/>
    <w:tmpl w:val="09380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F119B4"/>
    <w:multiLevelType w:val="hybridMultilevel"/>
    <w:tmpl w:val="3048C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075918"/>
    <w:multiLevelType w:val="hybridMultilevel"/>
    <w:tmpl w:val="8098E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EE858A1"/>
    <w:multiLevelType w:val="hybridMultilevel"/>
    <w:tmpl w:val="DF7A0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1"/>
  </w:num>
  <w:num w:numId="5">
    <w:abstractNumId w:val="12"/>
  </w:num>
  <w:num w:numId="6">
    <w:abstractNumId w:val="10"/>
  </w:num>
  <w:num w:numId="7">
    <w:abstractNumId w:val="9"/>
  </w:num>
  <w:num w:numId="8">
    <w:abstractNumId w:val="0"/>
  </w:num>
  <w:num w:numId="9">
    <w:abstractNumId w:val="8"/>
  </w:num>
  <w:num w:numId="10">
    <w:abstractNumId w:val="1"/>
  </w:num>
  <w:num w:numId="11">
    <w:abstractNumId w:val="2"/>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F44D8"/>
    <w:rsid w:val="000060D6"/>
    <w:rsid w:val="00041749"/>
    <w:rsid w:val="00056175"/>
    <w:rsid w:val="000B328D"/>
    <w:rsid w:val="00164E99"/>
    <w:rsid w:val="001C7363"/>
    <w:rsid w:val="001D4947"/>
    <w:rsid w:val="00206736"/>
    <w:rsid w:val="00222986"/>
    <w:rsid w:val="00262C53"/>
    <w:rsid w:val="00264138"/>
    <w:rsid w:val="0028212D"/>
    <w:rsid w:val="002962D2"/>
    <w:rsid w:val="002A4155"/>
    <w:rsid w:val="002D2629"/>
    <w:rsid w:val="00305729"/>
    <w:rsid w:val="003153C7"/>
    <w:rsid w:val="003171E0"/>
    <w:rsid w:val="003315C6"/>
    <w:rsid w:val="00402FB8"/>
    <w:rsid w:val="00415002"/>
    <w:rsid w:val="004B6085"/>
    <w:rsid w:val="00534D62"/>
    <w:rsid w:val="00554264"/>
    <w:rsid w:val="005E3AFE"/>
    <w:rsid w:val="00614EB8"/>
    <w:rsid w:val="006423F1"/>
    <w:rsid w:val="00667E9A"/>
    <w:rsid w:val="00686F88"/>
    <w:rsid w:val="006C7D33"/>
    <w:rsid w:val="006D28AA"/>
    <w:rsid w:val="006E43B3"/>
    <w:rsid w:val="006F3171"/>
    <w:rsid w:val="007031F8"/>
    <w:rsid w:val="0071003C"/>
    <w:rsid w:val="00730B2B"/>
    <w:rsid w:val="00734655"/>
    <w:rsid w:val="007F33D8"/>
    <w:rsid w:val="008070E6"/>
    <w:rsid w:val="00864C64"/>
    <w:rsid w:val="00864E59"/>
    <w:rsid w:val="008D3747"/>
    <w:rsid w:val="009016E5"/>
    <w:rsid w:val="0091347C"/>
    <w:rsid w:val="00913825"/>
    <w:rsid w:val="00922E7F"/>
    <w:rsid w:val="00926FAD"/>
    <w:rsid w:val="00951EA4"/>
    <w:rsid w:val="00957BFE"/>
    <w:rsid w:val="00970527"/>
    <w:rsid w:val="00970893"/>
    <w:rsid w:val="00982F88"/>
    <w:rsid w:val="009901F6"/>
    <w:rsid w:val="009A025C"/>
    <w:rsid w:val="009A3AF4"/>
    <w:rsid w:val="009C25DB"/>
    <w:rsid w:val="009E405E"/>
    <w:rsid w:val="00A02588"/>
    <w:rsid w:val="00A52B2A"/>
    <w:rsid w:val="00A63C3E"/>
    <w:rsid w:val="00A94C08"/>
    <w:rsid w:val="00AB2EC6"/>
    <w:rsid w:val="00AB5324"/>
    <w:rsid w:val="00AC7ABA"/>
    <w:rsid w:val="00AD413E"/>
    <w:rsid w:val="00AD574B"/>
    <w:rsid w:val="00B04730"/>
    <w:rsid w:val="00B12FAC"/>
    <w:rsid w:val="00B13B50"/>
    <w:rsid w:val="00B2460F"/>
    <w:rsid w:val="00B351A2"/>
    <w:rsid w:val="00B366FD"/>
    <w:rsid w:val="00B43A8D"/>
    <w:rsid w:val="00B744CC"/>
    <w:rsid w:val="00BA26B3"/>
    <w:rsid w:val="00BA3CD1"/>
    <w:rsid w:val="00BC0E34"/>
    <w:rsid w:val="00C6302E"/>
    <w:rsid w:val="00C66099"/>
    <w:rsid w:val="00DA6791"/>
    <w:rsid w:val="00DC6732"/>
    <w:rsid w:val="00E04926"/>
    <w:rsid w:val="00E22E14"/>
    <w:rsid w:val="00EB76C4"/>
    <w:rsid w:val="00EE16DF"/>
    <w:rsid w:val="00EE33B7"/>
    <w:rsid w:val="00EF44D8"/>
    <w:rsid w:val="00F307FE"/>
    <w:rsid w:val="00F50015"/>
    <w:rsid w:val="00F509A5"/>
    <w:rsid w:val="00F55EA1"/>
    <w:rsid w:val="00F97083"/>
    <w:rsid w:val="00FE4A42"/>
    <w:rsid w:val="00FE5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E8C02-24C5-4C5F-818B-25D89064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76C4"/>
    <w:pPr>
      <w:widowControl w:val="0"/>
      <w:ind w:left="720"/>
      <w:contextualSpacing/>
    </w:pPr>
    <w:rPr>
      <w:lang w:val="en-US"/>
    </w:rPr>
  </w:style>
  <w:style w:type="character" w:customStyle="1" w:styleId="PrrafodelistaCar">
    <w:name w:val="Párrafo de lista Car"/>
    <w:link w:val="Prrafodelista"/>
    <w:locked/>
    <w:rsid w:val="00EB76C4"/>
    <w:rPr>
      <w:lang w:val="en-US"/>
    </w:rPr>
  </w:style>
  <w:style w:type="paragraph" w:styleId="Textodeglobo">
    <w:name w:val="Balloon Text"/>
    <w:basedOn w:val="Normal"/>
    <w:link w:val="TextodegloboCar"/>
    <w:uiPriority w:val="99"/>
    <w:semiHidden/>
    <w:unhideWhenUsed/>
    <w:rsid w:val="006D2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8AA"/>
    <w:rPr>
      <w:rFonts w:ascii="Tahoma" w:hAnsi="Tahoma" w:cs="Tahoma"/>
      <w:sz w:val="16"/>
      <w:szCs w:val="16"/>
    </w:rPr>
  </w:style>
  <w:style w:type="paragraph" w:styleId="Sangradetextonormal">
    <w:name w:val="Body Text Indent"/>
    <w:basedOn w:val="Normal"/>
    <w:link w:val="SangradetextonormalCar"/>
    <w:uiPriority w:val="99"/>
    <w:semiHidden/>
    <w:unhideWhenUsed/>
    <w:rsid w:val="007F33D8"/>
    <w:pPr>
      <w:spacing w:after="120"/>
      <w:ind w:left="283"/>
    </w:pPr>
  </w:style>
  <w:style w:type="character" w:customStyle="1" w:styleId="SangradetextonormalCar">
    <w:name w:val="Sangría de texto normal Car"/>
    <w:basedOn w:val="Fuentedeprrafopredeter"/>
    <w:link w:val="Sangradetextonormal"/>
    <w:uiPriority w:val="99"/>
    <w:semiHidden/>
    <w:rsid w:val="007F33D8"/>
  </w:style>
  <w:style w:type="paragraph" w:styleId="Textoindependienteprimerasangra2">
    <w:name w:val="Body Text First Indent 2"/>
    <w:basedOn w:val="Sangradetextonormal"/>
    <w:link w:val="Textoindependienteprimerasangra2Car"/>
    <w:uiPriority w:val="99"/>
    <w:unhideWhenUsed/>
    <w:rsid w:val="007F33D8"/>
    <w:pPr>
      <w:spacing w:after="200"/>
      <w:ind w:left="360" w:firstLine="360"/>
    </w:pPr>
    <w:rPr>
      <w:rFonts w:eastAsiaTheme="minorHAnsi"/>
      <w:lang w:eastAsia="en-US"/>
    </w:rPr>
  </w:style>
  <w:style w:type="character" w:customStyle="1" w:styleId="Textoindependienteprimerasangra2Car">
    <w:name w:val="Texto independiente primera sangría 2 Car"/>
    <w:basedOn w:val="SangradetextonormalCar"/>
    <w:link w:val="Textoindependienteprimerasangra2"/>
    <w:uiPriority w:val="99"/>
    <w:rsid w:val="007F33D8"/>
    <w:rPr>
      <w:rFonts w:eastAsiaTheme="minorHAnsi"/>
      <w:lang w:eastAsia="en-US"/>
    </w:rPr>
  </w:style>
  <w:style w:type="paragraph" w:styleId="Textoindependiente">
    <w:name w:val="Body Text"/>
    <w:basedOn w:val="Normal"/>
    <w:link w:val="TextoindependienteCar"/>
    <w:uiPriority w:val="99"/>
    <w:unhideWhenUsed/>
    <w:rsid w:val="007F33D8"/>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7F33D8"/>
    <w:rPr>
      <w:rFonts w:eastAsiaTheme="minorHAnsi"/>
      <w:lang w:eastAsia="en-US"/>
    </w:rPr>
  </w:style>
  <w:style w:type="character" w:customStyle="1" w:styleId="apple-converted-space">
    <w:name w:val="apple-converted-space"/>
    <w:basedOn w:val="Fuentedeprrafopredeter"/>
    <w:rsid w:val="0053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49852">
      <w:bodyDiv w:val="1"/>
      <w:marLeft w:val="0"/>
      <w:marRight w:val="0"/>
      <w:marTop w:val="0"/>
      <w:marBottom w:val="0"/>
      <w:divBdr>
        <w:top w:val="none" w:sz="0" w:space="0" w:color="auto"/>
        <w:left w:val="none" w:sz="0" w:space="0" w:color="auto"/>
        <w:bottom w:val="none" w:sz="0" w:space="0" w:color="auto"/>
        <w:right w:val="none" w:sz="0" w:space="0" w:color="auto"/>
      </w:divBdr>
    </w:div>
    <w:div w:id="395587493">
      <w:bodyDiv w:val="1"/>
      <w:marLeft w:val="0"/>
      <w:marRight w:val="0"/>
      <w:marTop w:val="0"/>
      <w:marBottom w:val="0"/>
      <w:divBdr>
        <w:top w:val="none" w:sz="0" w:space="0" w:color="auto"/>
        <w:left w:val="none" w:sz="0" w:space="0" w:color="auto"/>
        <w:bottom w:val="none" w:sz="0" w:space="0" w:color="auto"/>
        <w:right w:val="none" w:sz="0" w:space="0" w:color="auto"/>
      </w:divBdr>
    </w:div>
    <w:div w:id="396633426">
      <w:bodyDiv w:val="1"/>
      <w:marLeft w:val="0"/>
      <w:marRight w:val="0"/>
      <w:marTop w:val="0"/>
      <w:marBottom w:val="0"/>
      <w:divBdr>
        <w:top w:val="none" w:sz="0" w:space="0" w:color="auto"/>
        <w:left w:val="none" w:sz="0" w:space="0" w:color="auto"/>
        <w:bottom w:val="none" w:sz="0" w:space="0" w:color="auto"/>
        <w:right w:val="none" w:sz="0" w:space="0" w:color="auto"/>
      </w:divBdr>
    </w:div>
    <w:div w:id="604339878">
      <w:bodyDiv w:val="1"/>
      <w:marLeft w:val="0"/>
      <w:marRight w:val="0"/>
      <w:marTop w:val="0"/>
      <w:marBottom w:val="0"/>
      <w:divBdr>
        <w:top w:val="none" w:sz="0" w:space="0" w:color="auto"/>
        <w:left w:val="none" w:sz="0" w:space="0" w:color="auto"/>
        <w:bottom w:val="none" w:sz="0" w:space="0" w:color="auto"/>
        <w:right w:val="none" w:sz="0" w:space="0" w:color="auto"/>
      </w:divBdr>
    </w:div>
    <w:div w:id="720057414">
      <w:bodyDiv w:val="1"/>
      <w:marLeft w:val="0"/>
      <w:marRight w:val="0"/>
      <w:marTop w:val="0"/>
      <w:marBottom w:val="0"/>
      <w:divBdr>
        <w:top w:val="none" w:sz="0" w:space="0" w:color="auto"/>
        <w:left w:val="none" w:sz="0" w:space="0" w:color="auto"/>
        <w:bottom w:val="none" w:sz="0" w:space="0" w:color="auto"/>
        <w:right w:val="none" w:sz="0" w:space="0" w:color="auto"/>
      </w:divBdr>
    </w:div>
    <w:div w:id="10982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A849-2D46-4D02-801F-41AEBA95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Especialistas</dc:creator>
  <cp:lastModifiedBy>HP</cp:lastModifiedBy>
  <cp:revision>2</cp:revision>
  <cp:lastPrinted>2016-06-21T17:47:00Z</cp:lastPrinted>
  <dcterms:created xsi:type="dcterms:W3CDTF">2019-05-25T03:50:00Z</dcterms:created>
  <dcterms:modified xsi:type="dcterms:W3CDTF">2019-05-25T03:50:00Z</dcterms:modified>
</cp:coreProperties>
</file>