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105EF4">
        <w:t>7</w:t>
      </w:r>
      <w:r w:rsidR="003D1BFD">
        <w:t>-00</w:t>
      </w:r>
      <w:r w:rsidR="00B21DEF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21DE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Recepcionista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>ubs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ecretaría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 xml:space="preserve">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0741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0741D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CA3EBC" w:rsidRDefault="00CA3EBC" w:rsidP="00CA3EBC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Recibir </w:t>
      </w:r>
      <w:r w:rsidRPr="00FA439E">
        <w:rPr>
          <w:rFonts w:ascii="Century Gothic" w:hAnsi="Century Gothic" w:cs="Century Gothic"/>
          <w:sz w:val="18"/>
          <w:szCs w:val="18"/>
        </w:rPr>
        <w:t xml:space="preserve">la documentación </w:t>
      </w:r>
      <w:r>
        <w:rPr>
          <w:rFonts w:ascii="Century Gothic" w:hAnsi="Century Gothic" w:cs="Century Gothic"/>
          <w:sz w:val="18"/>
          <w:szCs w:val="18"/>
        </w:rPr>
        <w:t>para su turno</w:t>
      </w:r>
      <w:r w:rsidRPr="00FA439E">
        <w:rPr>
          <w:rFonts w:ascii="Century Gothic" w:hAnsi="Century Gothic" w:cs="Century Gothic"/>
          <w:sz w:val="18"/>
          <w:szCs w:val="18"/>
        </w:rPr>
        <w:t xml:space="preserve"> al interior de la Subsecretaria de</w:t>
      </w:r>
      <w:r>
        <w:rPr>
          <w:rFonts w:ascii="Century Gothic" w:hAnsi="Century Gothic" w:cs="Century Gothic"/>
          <w:sz w:val="18"/>
          <w:szCs w:val="18"/>
        </w:rPr>
        <w:t xml:space="preserve"> Pesca y Acuacultura, así como de las personas que acuden a solicitar algún servicio o de las que lo hacen vía telefónica, de acuerdo al manual de trámites y servicios y a la normatividad en materia de atención ciudadana y los valores Gubernamentales, con la finalidad de contribuir con el correcto funcionamiento de la propia Subsecretaría.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CA3EBC" w:rsidRDefault="00CA3EBC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CA3EBC" w:rsidRPr="00CA3EBC" w:rsidRDefault="00CA3EBC" w:rsidP="00B92DE6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Century Gothic"/>
                <w:sz w:val="18"/>
                <w:szCs w:val="18"/>
              </w:rPr>
            </w:pPr>
            <w:r w:rsidRPr="00CA3EBC">
              <w:rPr>
                <w:rFonts w:cs="Century Gothic"/>
                <w:sz w:val="18"/>
                <w:szCs w:val="18"/>
              </w:rPr>
              <w:t>Recibir, analizar y registrar en el Sistema de Control de Documentación (SCD) la correspondencia y documentación.</w:t>
            </w:r>
          </w:p>
          <w:p w:rsidR="00CA3EBC" w:rsidRPr="00CA3EBC" w:rsidRDefault="00B92DE6" w:rsidP="00B92DE6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Seguimiento y r</w:t>
            </w:r>
            <w:r w:rsidR="00CA3EBC" w:rsidRPr="00CA3EBC">
              <w:rPr>
                <w:rFonts w:cs="Century Gothic"/>
                <w:sz w:val="18"/>
                <w:szCs w:val="18"/>
              </w:rPr>
              <w:t xml:space="preserve">egistro de trámites y servicios en materia de pesca y acuacultura a cargo de la Subsecretaría. </w:t>
            </w:r>
          </w:p>
          <w:p w:rsidR="00CA3EBC" w:rsidRPr="00CA3EBC" w:rsidRDefault="00CA3EBC" w:rsidP="00B92DE6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Century Gothic"/>
                <w:sz w:val="18"/>
                <w:szCs w:val="18"/>
              </w:rPr>
            </w:pPr>
            <w:r w:rsidRPr="00CA3EBC">
              <w:rPr>
                <w:rFonts w:cs="Century Gothic"/>
                <w:sz w:val="18"/>
                <w:szCs w:val="18"/>
              </w:rPr>
              <w:t>Realizar, recibir y turnar las llamadas que se reciban en la Subsecretaría de Pesca y Acuacultura y la Dirección General de Pesca y Acuacultura, así como asentarlas en el formato de registro de control de llamadas.</w:t>
            </w:r>
          </w:p>
          <w:p w:rsidR="00CA3EBC" w:rsidRPr="00CA3EBC" w:rsidRDefault="00CA3EBC" w:rsidP="00B92DE6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Century Gothic"/>
                <w:sz w:val="18"/>
                <w:szCs w:val="18"/>
              </w:rPr>
            </w:pPr>
            <w:r w:rsidRPr="00CA3EBC">
              <w:rPr>
                <w:rFonts w:cs="Century Gothic"/>
                <w:sz w:val="18"/>
                <w:szCs w:val="18"/>
              </w:rPr>
              <w:t>Recibir a las personas que soliciten alguna información o servicio de la Subsecretaria, para posteriormente registrarlas y pasarlas al área o empleado correspondiente.</w:t>
            </w:r>
          </w:p>
          <w:p w:rsidR="00CA3EBC" w:rsidRPr="00CA3EBC" w:rsidRDefault="00CA3EBC" w:rsidP="00B92DE6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Century Gothic"/>
                <w:sz w:val="18"/>
                <w:szCs w:val="18"/>
              </w:rPr>
            </w:pPr>
            <w:r w:rsidRPr="00CA3EBC">
              <w:rPr>
                <w:rFonts w:cs="Century Gothic"/>
                <w:sz w:val="18"/>
                <w:szCs w:val="18"/>
              </w:rPr>
              <w:t>Archivar y registrar la información de los trámites en materia de Ordenamiento Pesquero y Acuícola.</w:t>
            </w:r>
          </w:p>
          <w:p w:rsidR="00D82951" w:rsidRPr="00B92DE6" w:rsidRDefault="00CA3EBC" w:rsidP="00B92DE6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Century Gothic"/>
                <w:sz w:val="18"/>
                <w:szCs w:val="18"/>
              </w:rPr>
            </w:pPr>
            <w:r w:rsidRPr="00CA3EBC">
              <w:rPr>
                <w:rFonts w:cs="Century Gothic"/>
                <w:sz w:val="18"/>
                <w:szCs w:val="18"/>
              </w:rPr>
              <w:t>Participar cuando se requiera con las diferentes áreas de la Subsecretaría, en la ejecución de trabajos inherentes a la preparación de documentación que se remite al área de archivo de concentración de la Secretaría.</w:t>
            </w:r>
          </w:p>
        </w:tc>
      </w:tr>
    </w:tbl>
    <w:p w:rsidR="00687018" w:rsidRPr="00B92DE6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B92DE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CA3EBC" w:rsidRDefault="00CA3EBC" w:rsidP="00CA3EB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Todas </w:t>
            </w:r>
            <w:r w:rsidR="00B92DE6">
              <w:rPr>
                <w:rFonts w:ascii="Century Gothic" w:hAnsi="Century Gothic" w:cs="Century Gothic"/>
                <w:sz w:val="18"/>
                <w:szCs w:val="18"/>
              </w:rPr>
              <w:t>las Áreas de la Subsecretaría: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el seguimiento de la documentación q</w:t>
            </w:r>
            <w:r w:rsidR="00B92DE6">
              <w:rPr>
                <w:rFonts w:ascii="Century Gothic" w:hAnsi="Century Gothic" w:cs="Century Gothic"/>
                <w:sz w:val="18"/>
                <w:szCs w:val="18"/>
              </w:rPr>
              <w:t xml:space="preserve">ue se recibe al interior de la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Subsecretaría de Pesca y Acuacultura, así como para la atención de llamadas y personas que se anuncien.</w:t>
            </w:r>
          </w:p>
          <w:p w:rsidR="00CA3EBC" w:rsidRDefault="00CA3EBC" w:rsidP="00CA3EBC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CA3EBC" w:rsidRDefault="00CA3EBC" w:rsidP="00CA3EB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B92DE6">
              <w:rPr>
                <w:rFonts w:ascii="Century Gothic" w:hAnsi="Century Gothic" w:cs="Century Gothic"/>
                <w:sz w:val="18"/>
                <w:szCs w:val="18"/>
              </w:rPr>
              <w:t>Público en general: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canalizarlos y brindarles información requerida.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Pr="00CA3EBC" w:rsidRDefault="00B92DE6" w:rsidP="00CA3EBC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CA3EBC">
              <w:rPr>
                <w:rFonts w:cs="Century Gothic"/>
                <w:sz w:val="18"/>
                <w:szCs w:val="18"/>
              </w:rPr>
              <w:t xml:space="preserve">mero </w:t>
            </w:r>
            <w:r w:rsidR="00CA3EBC" w:rsidRPr="00CA3EBC">
              <w:rPr>
                <w:rFonts w:cs="Century Gothic"/>
                <w:sz w:val="18"/>
                <w:szCs w:val="18"/>
              </w:rPr>
              <w:t>de documentos recibidos, atendidos y/o pendientes.</w:t>
            </w:r>
          </w:p>
          <w:p w:rsidR="00687018" w:rsidRDefault="00CA3EBC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llamadas realizadas y registradas.</w:t>
            </w:r>
          </w:p>
          <w:p w:rsidR="00687018" w:rsidRPr="00B30C93" w:rsidRDefault="00CA3EBC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personas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92DE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92DE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92DE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92DE6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A3EBC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92DE6">
        <w:rPr>
          <w:rFonts w:ascii="Century Gothic" w:hAnsi="Century Gothic" w:cs="Century Gothic"/>
          <w:bCs/>
          <w:sz w:val="18"/>
          <w:szCs w:val="18"/>
        </w:rPr>
        <w:t>Analista de S</w:t>
      </w:r>
      <w:r w:rsidR="00CA3EBC">
        <w:rPr>
          <w:rFonts w:ascii="Century Gothic" w:hAnsi="Century Gothic" w:cs="Century Gothic"/>
          <w:bCs/>
          <w:sz w:val="18"/>
          <w:szCs w:val="18"/>
        </w:rPr>
        <w:t>ist</w:t>
      </w:r>
      <w:r w:rsidR="00B92DE6">
        <w:rPr>
          <w:rFonts w:ascii="Century Gothic" w:hAnsi="Century Gothic" w:cs="Century Gothic"/>
          <w:bCs/>
          <w:sz w:val="18"/>
          <w:szCs w:val="18"/>
        </w:rPr>
        <w:t>emas, Secretariado, Técnico en Computación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CA3EB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CA3EBC">
        <w:rPr>
          <w:rFonts w:ascii="Century Gothic" w:hAnsi="Century Gothic" w:cs="Century Gothic"/>
          <w:sz w:val="18"/>
          <w:szCs w:val="18"/>
        </w:rPr>
        <w:t xml:space="preserve">6 </w:t>
      </w:r>
      <w:r w:rsidR="00B92DE6">
        <w:rPr>
          <w:rFonts w:ascii="Century Gothic" w:hAnsi="Century Gothic" w:cs="Century Gothic"/>
          <w:sz w:val="18"/>
          <w:szCs w:val="18"/>
        </w:rPr>
        <w:t>meses en área de recepción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92DE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B92DE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B92DE6" w:rsidRDefault="00B92DE6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92DE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A3EBC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B92DE6" w:rsidRDefault="00B92DE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B92DE6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92DE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B92DE6" w:rsidRDefault="00B92DE6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B92DE6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0741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Recepcionista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0741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69" w:rsidRDefault="00C67F69" w:rsidP="0068032F">
      <w:pPr>
        <w:spacing w:after="0" w:line="240" w:lineRule="auto"/>
      </w:pPr>
      <w:r>
        <w:separator/>
      </w:r>
    </w:p>
  </w:endnote>
  <w:endnote w:type="continuationSeparator" w:id="0">
    <w:p w:rsidR="00C67F69" w:rsidRDefault="00C67F6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0741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Recepcionista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4524DA" w:rsidRPr="004524DA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69" w:rsidRDefault="00C67F69" w:rsidP="0068032F">
      <w:pPr>
        <w:spacing w:after="0" w:line="240" w:lineRule="auto"/>
      </w:pPr>
      <w:r>
        <w:separator/>
      </w:r>
    </w:p>
  </w:footnote>
  <w:footnote w:type="continuationSeparator" w:id="0">
    <w:p w:rsidR="00C67F69" w:rsidRDefault="00C67F6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67F6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4B48"/>
    <w:multiLevelType w:val="hybridMultilevel"/>
    <w:tmpl w:val="96907C4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5F6816"/>
    <w:multiLevelType w:val="hybridMultilevel"/>
    <w:tmpl w:val="E86ADE5C"/>
    <w:lvl w:ilvl="0" w:tplc="080A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603AC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524DA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0741D"/>
    <w:rsid w:val="00B12FBF"/>
    <w:rsid w:val="00B21DEF"/>
    <w:rsid w:val="00B30C93"/>
    <w:rsid w:val="00B332CE"/>
    <w:rsid w:val="00B40EA5"/>
    <w:rsid w:val="00B85D22"/>
    <w:rsid w:val="00B8777B"/>
    <w:rsid w:val="00B87EB3"/>
    <w:rsid w:val="00B92DE6"/>
    <w:rsid w:val="00BB3889"/>
    <w:rsid w:val="00C25AB6"/>
    <w:rsid w:val="00C42A89"/>
    <w:rsid w:val="00C51974"/>
    <w:rsid w:val="00C67F69"/>
    <w:rsid w:val="00CA1D00"/>
    <w:rsid w:val="00CA3EBC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D1B75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CE0FFE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1252F-8AE4-4F0E-8C67-2305A79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2017-03-01T00:33:00Z</dcterms:created>
  <dcterms:modified xsi:type="dcterms:W3CDTF">2017-03-24T22:39:00Z</dcterms:modified>
</cp:coreProperties>
</file>