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-00</w:t>
      </w:r>
      <w:r w:rsidR="00B84FFE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84FF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Seguimiento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11EF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11EFD" w:rsidP="00D11E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Sistemas de Información Instituciona</w:t>
            </w:r>
            <w:r w:rsidR="00A53162">
              <w:rPr>
                <w:rFonts w:ascii="Century Gothic" w:hAnsi="Century Gothic" w:cs="Century Gothic"/>
                <w:bCs/>
                <w:sz w:val="18"/>
                <w:szCs w:val="18"/>
              </w:rPr>
              <w:t>l y Servicios de Pesca Deportiva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14CC2" w:rsidRDefault="00B14CC2" w:rsidP="00B14C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E21574">
        <w:rPr>
          <w:rFonts w:ascii="Century Gothic" w:hAnsi="Century Gothic" w:cs="Arial"/>
          <w:sz w:val="18"/>
        </w:rPr>
        <w:t>Garantizar</w:t>
      </w:r>
      <w:r w:rsidR="00D10AA8">
        <w:rPr>
          <w:rFonts w:ascii="Century Gothic" w:hAnsi="Century Gothic" w:cs="Arial"/>
          <w:sz w:val="18"/>
        </w:rPr>
        <w:t xml:space="preserve"> el desarrollo de la Pesca, Acua</w:t>
      </w:r>
      <w:r w:rsidRPr="00E21574">
        <w:rPr>
          <w:rFonts w:ascii="Century Gothic" w:hAnsi="Century Gothic" w:cs="Arial"/>
          <w:sz w:val="18"/>
        </w:rPr>
        <w:t>cultura y Maricultura, mediante el seguimiento a</w:t>
      </w:r>
      <w:r>
        <w:rPr>
          <w:rFonts w:ascii="Century Gothic" w:hAnsi="Century Gothic" w:cs="Arial"/>
          <w:sz w:val="18"/>
        </w:rPr>
        <w:t xml:space="preserve"> </w:t>
      </w:r>
      <w:r w:rsidRPr="00E21574">
        <w:rPr>
          <w:rFonts w:ascii="Century Gothic" w:hAnsi="Century Gothic" w:cs="Arial"/>
          <w:sz w:val="18"/>
        </w:rPr>
        <w:t>programas y proyectos específicos de equipamiento, desarrollo tecnológico, pesca y acuacultura</w:t>
      </w:r>
      <w:r>
        <w:rPr>
          <w:rFonts w:ascii="Century Gothic" w:hAnsi="Century Gothic" w:cs="Arial"/>
          <w:sz w:val="18"/>
        </w:rPr>
        <w:t xml:space="preserve"> </w:t>
      </w:r>
      <w:r w:rsidRPr="00E21574">
        <w:rPr>
          <w:rFonts w:ascii="Century Gothic" w:hAnsi="Century Gothic" w:cs="Arial"/>
          <w:sz w:val="18"/>
        </w:rPr>
        <w:t>responsable, para promover una actividad más competitiva y sustentable en la Entidad.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B14CC2" w:rsidRDefault="00B14CC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Supervi</w:t>
            </w:r>
            <w:r w:rsidR="00D10AA8">
              <w:rPr>
                <w:rFonts w:ascii="Century Gothic" w:hAnsi="Century Gothic" w:cs="Arial"/>
                <w:sz w:val="18"/>
                <w:lang w:val="es-MX" w:eastAsia="es-MX"/>
              </w:rPr>
              <w:t>sar la recepción, captura, dicta</w:t>
            </w:r>
            <w:r w:rsidR="00D10AA8" w:rsidRPr="00E21574">
              <w:rPr>
                <w:rFonts w:ascii="Century Gothic" w:hAnsi="Century Gothic" w:cs="Arial"/>
                <w:sz w:val="18"/>
                <w:lang w:val="es-MX" w:eastAsia="es-MX"/>
              </w:rPr>
              <w:t>men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 xml:space="preserve"> y supervisión de las solicitudes al Componente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de Innovación y Transferencia de Tecnología.</w:t>
            </w:r>
          </w:p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Supervisar la recepción, captura, dictamen y supervisión de las solicitudes al Componente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de Desarrollo de Capacidades y Extensionismo Rural.</w:t>
            </w:r>
          </w:p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Supervisar la recepción, captura, dictamen y supervisión de las solicitudes al Componente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de Apoyos para la Integración de Proyectos (Sistema Producto).</w:t>
            </w:r>
          </w:p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Apoyar en la supervisión del proyecto Manejo Responsable de las Operaciones Pesqueras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 xml:space="preserve">en el Alto Golfo de California “MARSOPA” </w:t>
            </w:r>
            <w:r w:rsidR="00D10AA8">
              <w:rPr>
                <w:rFonts w:ascii="Century Gothic" w:hAnsi="Century Gothic" w:cs="Arial"/>
                <w:sz w:val="18"/>
                <w:lang w:val="es-MX" w:eastAsia="es-MX"/>
              </w:rPr>
              <w:t>para la implementación de un manejo c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ompartido por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="00D10AA8">
              <w:rPr>
                <w:rFonts w:ascii="Century Gothic" w:hAnsi="Century Gothic" w:cs="Arial"/>
                <w:sz w:val="18"/>
                <w:lang w:val="es-MX" w:eastAsia="es-MX"/>
              </w:rPr>
              <w:t>c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 xml:space="preserve">uotas en la pesquería de </w:t>
            </w:r>
            <w:proofErr w:type="spellStart"/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curvina</w:t>
            </w:r>
            <w:proofErr w:type="spellEnd"/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proofErr w:type="spellStart"/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golfina</w:t>
            </w:r>
            <w:proofErr w:type="spellEnd"/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.</w:t>
            </w:r>
          </w:p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Apoyar en el acompañamiento a la certificación de la pesquería de pelágicos menores del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Golfo de California.</w:t>
            </w:r>
          </w:p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Apoyar en el acompañamiento a la pesca de altura de Puerto Peñasco en sus gestiones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 </w:t>
            </w: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para una pesca responsable en la Reserva del Alto Golfo de California.</w:t>
            </w:r>
          </w:p>
          <w:p w:rsidR="00B14CC2" w:rsidRPr="00E21574" w:rsidRDefault="00B14CC2" w:rsidP="00D10A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E21574">
              <w:rPr>
                <w:rFonts w:ascii="Century Gothic" w:hAnsi="Century Gothic" w:cs="Arial"/>
                <w:sz w:val="18"/>
                <w:lang w:val="es-MX" w:eastAsia="es-MX"/>
              </w:rPr>
              <w:t>Desarrollar todas aquellas funciones inherentes al área de su competencia.</w:t>
            </w:r>
          </w:p>
          <w:p w:rsidR="00D82951" w:rsidRDefault="00D82951" w:rsidP="00B14CC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7B2E0D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7B2E0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B14CC2" w:rsidP="00D10AA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>Dirección G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eneral de Pesca y Acuacultura: c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>oordinar información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>presupue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stal, programas con recursos en c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>oncurre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ncia con el Gobierno Federal y acuerdos y c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 xml:space="preserve">onvenios específicos relacionados con 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el s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 xml:space="preserve">ector 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de pesca y a</w:t>
            </w:r>
            <w:r w:rsidR="00D10AA8" w:rsidRPr="00E21574">
              <w:rPr>
                <w:rFonts w:ascii="Century Gothic" w:hAnsi="Century Gothic" w:cs="Century Gothic"/>
                <w:sz w:val="18"/>
                <w:szCs w:val="18"/>
              </w:rPr>
              <w:t>cuacultura.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B14CC2" w:rsidRPr="00E21574" w:rsidRDefault="00B14CC2" w:rsidP="00B14CC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E21574">
              <w:rPr>
                <w:rFonts w:ascii="Century Gothic" w:hAnsi="Century Gothic" w:cs="Century Gothic"/>
                <w:sz w:val="18"/>
                <w:szCs w:val="18"/>
              </w:rPr>
              <w:t>Subde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legación de Pesca en el Estado: coordinar la ejecución de p</w:t>
            </w:r>
            <w:r w:rsidRPr="00E21574">
              <w:rPr>
                <w:rFonts w:ascii="Century Gothic" w:hAnsi="Century Gothic" w:cs="Century Gothic"/>
                <w:sz w:val="18"/>
                <w:szCs w:val="18"/>
              </w:rPr>
              <w:t xml:space="preserve">rogramas vigentes a cargo de la SAGARPA, en concurrencia con el </w:t>
            </w:r>
            <w:r w:rsidRPr="00E21574">
              <w:rPr>
                <w:rFonts w:ascii="Century Gothic" w:hAnsi="Century Gothic" w:cs="Century Gothic"/>
                <w:sz w:val="18"/>
                <w:szCs w:val="18"/>
              </w:rPr>
              <w:br/>
              <w:t>Go</w:t>
            </w:r>
            <w:r w:rsidR="00D10AA8">
              <w:rPr>
                <w:rFonts w:ascii="Century Gothic" w:hAnsi="Century Gothic" w:cs="Century Gothic"/>
                <w:sz w:val="18"/>
                <w:szCs w:val="18"/>
              </w:rPr>
              <w:t>bierno del Estado, así como de acuerdo e</w:t>
            </w:r>
            <w:r w:rsidRPr="00E21574">
              <w:rPr>
                <w:rFonts w:ascii="Century Gothic" w:hAnsi="Century Gothic" w:cs="Century Gothic"/>
                <w:sz w:val="18"/>
                <w:szCs w:val="18"/>
              </w:rPr>
              <w:t>specíficos con la Federación.</w:t>
            </w:r>
          </w:p>
          <w:p w:rsidR="00B14CC2" w:rsidRPr="00E21574" w:rsidRDefault="00B14CC2" w:rsidP="00B14CC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before="235"/>
              <w:rPr>
                <w:rFonts w:ascii="Century Gothic" w:hAnsi="Century Gothic" w:cs="Century Gothic"/>
                <w:b/>
                <w:bCs/>
              </w:rPr>
            </w:pP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B14CC2" w:rsidRPr="00E21574" w:rsidRDefault="00B14CC2" w:rsidP="00B14CC2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sz w:val="18"/>
                <w:szCs w:val="18"/>
              </w:rPr>
              <w:t>Seguimiento del Programa de Apoyo a la Inversión en Equipamiento e Infraestructura en sus Componentes de Pesca y Activos Productivos Tradicional, conforme a su anexo de ejecución convenido.</w:t>
            </w:r>
          </w:p>
          <w:p w:rsidR="00B14CC2" w:rsidRPr="00E21574" w:rsidRDefault="00B14CC2" w:rsidP="00B14CC2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sz w:val="18"/>
                <w:szCs w:val="18"/>
              </w:rPr>
              <w:t>Seguimiento del Componente Sustitución de Motores Marinos Ecológicos, de acuerdo a su alcance en montos y metas establecidos en el Acuerdo Específico correspondiente.</w:t>
            </w:r>
          </w:p>
          <w:p w:rsidR="00B14CC2" w:rsidRPr="00E21574" w:rsidRDefault="00B14CC2" w:rsidP="00B14CC2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sz w:val="18"/>
                <w:szCs w:val="18"/>
              </w:rPr>
              <w:t>Seguimiento del Componente Sistemas Producto de Pelágicos Menores, Calamar, Jaiba, Ostión, Camarón de Cultivo y Tilapia, conforme al plan de trabajo presentado para el año específico.</w:t>
            </w:r>
          </w:p>
          <w:p w:rsidR="00B14CC2" w:rsidRDefault="00B14CC2" w:rsidP="00B14CC2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sz w:val="18"/>
                <w:szCs w:val="18"/>
              </w:rPr>
              <w:t>Seguimiento del Componente de Desarrollo de Capacidades y Extensionismo Rural para el Sector Pesquero y Acuícola, conforme al plan de trabajo anual acordado.</w:t>
            </w:r>
          </w:p>
          <w:p w:rsidR="00B14CC2" w:rsidRPr="00E21574" w:rsidRDefault="00B14CC2" w:rsidP="00B14CC2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21574">
              <w:rPr>
                <w:rFonts w:ascii="Century Gothic" w:hAnsi="Century Gothic" w:cs="Century Gothic"/>
                <w:sz w:val="18"/>
                <w:szCs w:val="18"/>
              </w:rPr>
              <w:t>Seguimiento del Componente de Sanidad e Inocuidad acuícola y pesquera de acuerdo a los planes de trabajo autorizados.</w:t>
            </w:r>
          </w:p>
          <w:p w:rsidR="00B14CC2" w:rsidRPr="00E21574" w:rsidRDefault="00B14CC2" w:rsidP="00B14CC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108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87018" w:rsidRPr="00B30C93" w:rsidRDefault="00687018" w:rsidP="00B14CC2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144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14CC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Administración</w:t>
      </w:r>
      <w:r w:rsidR="00D10AA8">
        <w:rPr>
          <w:rFonts w:ascii="Century Gothic" w:hAnsi="Century Gothic" w:cs="Century Gothic"/>
          <w:bCs/>
          <w:sz w:val="18"/>
          <w:szCs w:val="18"/>
        </w:rPr>
        <w:t xml:space="preserve"> Pública, Ingeniería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B14CC2">
        <w:rPr>
          <w:rFonts w:ascii="Century Gothic" w:hAnsi="Century Gothic" w:cs="Century Gothic"/>
          <w:bCs/>
          <w:sz w:val="18"/>
          <w:szCs w:val="18"/>
        </w:rPr>
        <w:t>Recursos Naturales y Políticas</w:t>
      </w:r>
      <w:r w:rsidR="00D10AA8">
        <w:rPr>
          <w:rFonts w:ascii="Century Gothic" w:hAnsi="Century Gothic" w:cs="Century Gothic"/>
          <w:bCs/>
          <w:sz w:val="18"/>
          <w:szCs w:val="18"/>
        </w:rPr>
        <w:t xml:space="preserve"> Públicas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B14CC2" w:rsidP="00D10AA8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en </w:t>
      </w:r>
      <w:r w:rsidR="00D10AA8">
        <w:rPr>
          <w:rFonts w:cs="Century Gothic"/>
          <w:sz w:val="18"/>
          <w:szCs w:val="18"/>
        </w:rPr>
        <w:t>el Sector de Pesca y Acuacultura</w:t>
      </w:r>
    </w:p>
    <w:p w:rsidR="00B14CC2" w:rsidRDefault="00182AA4" w:rsidP="00B14CC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seguimiento de programas gubernamentales</w:t>
      </w:r>
    </w:p>
    <w:p w:rsidR="00B14CC2" w:rsidRDefault="00182AA4" w:rsidP="00B14CC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planeación estratégica</w:t>
      </w:r>
    </w:p>
    <w:p w:rsidR="00B14CC2" w:rsidRPr="00B14CC2" w:rsidRDefault="00182AA4" w:rsidP="00B14CC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lastRenderedPageBreak/>
        <w:t>1 año en m</w:t>
      </w:r>
      <w:r w:rsidR="00B14CC2">
        <w:rPr>
          <w:rFonts w:cs="Century Gothic"/>
          <w:sz w:val="18"/>
          <w:szCs w:val="18"/>
        </w:rPr>
        <w:t xml:space="preserve">anejo de </w:t>
      </w:r>
      <w:r>
        <w:rPr>
          <w:rFonts w:cs="Century Gothic"/>
          <w:sz w:val="18"/>
          <w:szCs w:val="18"/>
        </w:rPr>
        <w:t>estadísticas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B14CC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82AA4" w:rsidRDefault="00B14CC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82AA4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14CC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14C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14CC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14CC2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82AA4" w:rsidRDefault="00B14CC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82AA4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14C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14C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14CC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14CC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82AA4" w:rsidRDefault="00B14CC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82AA4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AA4" w:rsidRDefault="00182AA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11EF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Seguimiento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11EF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9C" w:rsidRDefault="00612D9C" w:rsidP="0068032F">
      <w:pPr>
        <w:spacing w:after="0" w:line="240" w:lineRule="auto"/>
      </w:pPr>
      <w:r>
        <w:separator/>
      </w:r>
    </w:p>
  </w:endnote>
  <w:endnote w:type="continuationSeparator" w:id="0">
    <w:p w:rsidR="00612D9C" w:rsidRDefault="00612D9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11EF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Seguimiento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220CBF" w:rsidRPr="00220CBF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9C" w:rsidRDefault="00612D9C" w:rsidP="0068032F">
      <w:pPr>
        <w:spacing w:after="0" w:line="240" w:lineRule="auto"/>
      </w:pPr>
      <w:r>
        <w:separator/>
      </w:r>
    </w:p>
  </w:footnote>
  <w:footnote w:type="continuationSeparator" w:id="0">
    <w:p w:rsidR="00612D9C" w:rsidRDefault="00612D9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12D9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20CB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220CB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D9D"/>
    <w:multiLevelType w:val="hybridMultilevel"/>
    <w:tmpl w:val="24FA18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8E0535"/>
    <w:multiLevelType w:val="hybridMultilevel"/>
    <w:tmpl w:val="F81000D6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2725FC"/>
    <w:multiLevelType w:val="hybridMultilevel"/>
    <w:tmpl w:val="F03A63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D0FEC"/>
    <w:multiLevelType w:val="hybridMultilevel"/>
    <w:tmpl w:val="F55693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82AA4"/>
    <w:rsid w:val="00190C96"/>
    <w:rsid w:val="001C5266"/>
    <w:rsid w:val="001C5D17"/>
    <w:rsid w:val="001E2135"/>
    <w:rsid w:val="001E4C73"/>
    <w:rsid w:val="00212675"/>
    <w:rsid w:val="00220CBF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12D9C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B2E0D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22EC0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53162"/>
    <w:rsid w:val="00A90AB2"/>
    <w:rsid w:val="00AB0D64"/>
    <w:rsid w:val="00AC7D22"/>
    <w:rsid w:val="00AD2C81"/>
    <w:rsid w:val="00AF3BE8"/>
    <w:rsid w:val="00B00DB2"/>
    <w:rsid w:val="00B12FBF"/>
    <w:rsid w:val="00B14CC2"/>
    <w:rsid w:val="00B21DEF"/>
    <w:rsid w:val="00B30C93"/>
    <w:rsid w:val="00B332CE"/>
    <w:rsid w:val="00B40EA5"/>
    <w:rsid w:val="00B84FFE"/>
    <w:rsid w:val="00B85D22"/>
    <w:rsid w:val="00B8777B"/>
    <w:rsid w:val="00B87EB3"/>
    <w:rsid w:val="00BB3889"/>
    <w:rsid w:val="00BC7785"/>
    <w:rsid w:val="00C25AB6"/>
    <w:rsid w:val="00C42A89"/>
    <w:rsid w:val="00C51974"/>
    <w:rsid w:val="00CA1D00"/>
    <w:rsid w:val="00CC502A"/>
    <w:rsid w:val="00CD02BE"/>
    <w:rsid w:val="00D10AA8"/>
    <w:rsid w:val="00D11EFD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44F44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063F"/>
    <w:rsid w:val="00BD2483"/>
    <w:rsid w:val="00BF359B"/>
    <w:rsid w:val="00C11800"/>
    <w:rsid w:val="00C71A92"/>
    <w:rsid w:val="00CA069C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3D1B2-E53E-4CA9-881B-0042AF05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2017-03-01T00:44:00Z</dcterms:created>
  <dcterms:modified xsi:type="dcterms:W3CDTF">2017-06-21T19:00:00Z</dcterms:modified>
</cp:coreProperties>
</file>