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5026AA">
        <w:t>-014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026A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Proyectos de Infraestructura Pesquera y Acuícola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434A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434A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B7757">
          <w:r w:rsidRPr="007B7757">
            <w:rPr>
              <w:rFonts w:ascii="Century Gothic" w:hAnsi="Century Gothic" w:cs="Arial"/>
              <w:sz w:val="18"/>
              <w:szCs w:val="18"/>
            </w:rPr>
            <w:t>Responsable de integrar, analizar y dictaminar las solicitudes de apoyo de proyectos pesqueros y acuícolas, así como de operar programas de apoyo y ejecutar acciones para el desarrollo de la acuacultura y la pesca en conjunto con otras instituciones para b</w:t>
          </w:r>
          <w:r>
            <w:rPr>
              <w:rFonts w:ascii="Century Gothic" w:hAnsi="Century Gothic" w:cs="Arial"/>
              <w:sz w:val="18"/>
              <w:szCs w:val="18"/>
            </w:rPr>
            <w:t>uscar la inversión en el Estado</w:t>
          </w:r>
          <w:r w:rsidRPr="007B7757">
            <w:rPr>
              <w:rFonts w:ascii="Century Gothic" w:hAnsi="Century Gothic" w:cs="Arial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Formular perfiles de proyectos pesqueros y acuícolas estratégicos para el desarrollo del sector en la entidad.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Asesorar empresas pesqueras y acuícolas, en materia de programas</w:t>
            </w:r>
            <w:r w:rsidR="00C53F12">
              <w:rPr>
                <w:rFonts w:ascii="Century Gothic" w:hAnsi="Century Gothic" w:cs="Arial"/>
                <w:sz w:val="18"/>
                <w:szCs w:val="18"/>
              </w:rPr>
              <w:t xml:space="preserve"> de apoyo federales y estatales.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Evaluar y dictaminar proyectos pesqueros y acuícolas, a efecto de evaluar su viabilidad técnica y económica, así como su congruencia con la política de</w:t>
            </w:r>
            <w:r w:rsidR="00C53F12">
              <w:rPr>
                <w:rFonts w:ascii="Century Gothic" w:hAnsi="Century Gothic" w:cs="Arial"/>
                <w:sz w:val="18"/>
                <w:szCs w:val="18"/>
              </w:rPr>
              <w:t xml:space="preserve"> desarrollo del Estado.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 xml:space="preserve">Participar, en coordinación con otras unidades administrativas de la Secretaría, del Gobierno del Estado y en su caso de los gobiernos federal y municipal, en la organización de grupos sociales para la implementación de proyectos </w:t>
            </w:r>
            <w:r w:rsidR="00C53F12">
              <w:rPr>
                <w:rFonts w:ascii="Century Gothic" w:hAnsi="Century Gothic" w:cs="Arial"/>
                <w:sz w:val="18"/>
                <w:szCs w:val="18"/>
              </w:rPr>
              <w:t>pesqueros y acuícolas.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Operar programas de apoyo federales o estatales en materia de infraestructura pesquera y acuícola.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Actualizar la información del Sistema Integral de Administración Documental.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Desempeñar las representaciones que por acuerdo expreso se le encomienden e informar de los resultados de las</w:t>
            </w:r>
            <w:r w:rsidR="00C53F12">
              <w:rPr>
                <w:rFonts w:ascii="Century Gothic" w:hAnsi="Century Gothic" w:cs="Arial"/>
                <w:sz w:val="18"/>
                <w:szCs w:val="18"/>
              </w:rPr>
              <w:t xml:space="preserve"> mismas, al superior jerárquico.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Suscribir los documentos relativos al ejercicio de sus atribuciones y aquellos que l</w:t>
            </w:r>
            <w:r w:rsidR="00C53F12">
              <w:rPr>
                <w:rFonts w:ascii="Century Gothic" w:hAnsi="Century Gothic" w:cs="Arial"/>
                <w:sz w:val="18"/>
                <w:szCs w:val="18"/>
              </w:rPr>
              <w:t>e sean señalados por delegación.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lastRenderedPageBreak/>
              <w:t>Revisar y canalizar documentos de gestión y trámite.</w:t>
            </w:r>
          </w:p>
          <w:p w:rsidR="007B7757" w:rsidRPr="007B7757" w:rsidRDefault="007B7757" w:rsidP="007B775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7B7757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>Dirección General de Pesca y Acu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acultura: para dar s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>eguimiento de programas y asistencia sobr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e opiniones técnicas e informes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B7757" w:rsidTr="00687018">
        <w:trPr>
          <w:gridAfter w:val="2"/>
          <w:wAfter w:w="6519" w:type="dxa"/>
        </w:trPr>
        <w:tc>
          <w:tcPr>
            <w:tcW w:w="994" w:type="dxa"/>
          </w:tcPr>
          <w:p w:rsidR="007B7757" w:rsidRPr="00113743" w:rsidRDefault="007B77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B7757" w:rsidRDefault="007B7757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B7757" w:rsidTr="00687018">
        <w:trPr>
          <w:gridAfter w:val="2"/>
          <w:wAfter w:w="6519" w:type="dxa"/>
        </w:trPr>
        <w:tc>
          <w:tcPr>
            <w:tcW w:w="994" w:type="dxa"/>
          </w:tcPr>
          <w:p w:rsidR="007B7757" w:rsidRPr="00113743" w:rsidRDefault="007B77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B7757" w:rsidRDefault="007B7757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>Dependenc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ias e Instituciones Federales: para la c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>oordinación para ej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ecución de solicitudes de apoyo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7B7757">
              <w:rPr>
                <w:rFonts w:ascii="Century Gothic" w:hAnsi="Century Gothic"/>
                <w:bCs/>
                <w:sz w:val="18"/>
                <w:szCs w:val="18"/>
              </w:rPr>
              <w:t>Instituciones crediticias: para dar s</w:t>
            </w:r>
            <w:r w:rsidR="007B7757" w:rsidRPr="007B7757">
              <w:rPr>
                <w:rFonts w:ascii="Century Gothic" w:hAnsi="Century Gothic"/>
                <w:bCs/>
                <w:sz w:val="18"/>
                <w:szCs w:val="18"/>
              </w:rPr>
              <w:t>eg</w:t>
            </w:r>
            <w:r w:rsidR="007B7757">
              <w:rPr>
                <w:rFonts w:ascii="Century Gothic" w:hAnsi="Century Gothic"/>
                <w:bCs/>
                <w:sz w:val="18"/>
                <w:szCs w:val="18"/>
              </w:rPr>
              <w:t>uimiento de proyectos conjuntos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>Productores pesq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ueros y acuícolas: para a</w:t>
            </w:r>
            <w:r w:rsidR="007B7757" w:rsidRPr="007B7757">
              <w:rPr>
                <w:rFonts w:ascii="Century Gothic" w:hAnsi="Century Gothic" w:cs="Century Gothic"/>
                <w:sz w:val="18"/>
                <w:szCs w:val="18"/>
              </w:rPr>
              <w:t xml:space="preserve">sesoría respecto a la integración de </w:t>
            </w:r>
            <w:r w:rsidR="007B7757">
              <w:rPr>
                <w:rFonts w:ascii="Century Gothic" w:hAnsi="Century Gothic" w:cs="Century Gothic"/>
                <w:sz w:val="18"/>
                <w:szCs w:val="18"/>
              </w:rPr>
              <w:t>proyectos acuícolas y pesqueros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C53F1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B7757" w:rsidRPr="001C2CD0" w:rsidRDefault="007B7757" w:rsidP="007B775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1C2CD0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>Porcentaje</w:t>
            </w:r>
            <w:r w:rsidRPr="001C2CD0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de apoyos otorgados</w:t>
            </w:r>
            <w:r w:rsidR="00C53F12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>.</w:t>
            </w:r>
          </w:p>
          <w:p w:rsidR="007B7757" w:rsidRPr="001C2CD0" w:rsidRDefault="007B7757" w:rsidP="007B775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1C2CD0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>Porcentaje</w:t>
            </w:r>
            <w:r w:rsidRPr="001C2CD0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de grupos o personas atendidas</w:t>
            </w:r>
            <w:r w:rsidR="00C53F12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>.</w:t>
            </w:r>
          </w:p>
          <w:p w:rsidR="007B7757" w:rsidRDefault="007B7757" w:rsidP="007B775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Porcentaje</w:t>
            </w:r>
            <w:r w:rsidRPr="001C2CD0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 xml:space="preserve"> de solicitudes de apoyo atendidas</w:t>
            </w:r>
            <w:r w:rsidR="00C53F12">
              <w:rPr>
                <w:rFonts w:ascii="Century Gothic" w:hAnsi="Century Gothic" w:cs="Century Gothic"/>
                <w:sz w:val="18"/>
                <w:szCs w:val="18"/>
                <w:lang w:val="es-MX" w:eastAsia="en-US"/>
              </w:rPr>
              <w:t>.</w:t>
            </w:r>
          </w:p>
          <w:p w:rsidR="00687018" w:rsidRPr="00B30C93" w:rsidRDefault="00687018" w:rsidP="007B7757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C53F1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90" w:hanging="21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B7757">
        <w:rPr>
          <w:rFonts w:ascii="Century Gothic" w:hAnsi="Century Gothic" w:cs="Century Gothic"/>
          <w:bCs/>
          <w:sz w:val="18"/>
          <w:szCs w:val="18"/>
        </w:rPr>
        <w:t>Lice</w:t>
      </w:r>
      <w:r w:rsidR="007B7757" w:rsidRPr="007B7757">
        <w:rPr>
          <w:rFonts w:ascii="Century Gothic" w:hAnsi="Century Gothic" w:cs="Century Gothic"/>
          <w:bCs/>
          <w:sz w:val="18"/>
          <w:szCs w:val="18"/>
        </w:rPr>
        <w:t>n</w:t>
      </w:r>
      <w:r w:rsidR="00C53F12">
        <w:rPr>
          <w:rFonts w:ascii="Century Gothic" w:hAnsi="Century Gothic" w:cs="Century Gothic"/>
          <w:bCs/>
          <w:sz w:val="18"/>
          <w:szCs w:val="18"/>
        </w:rPr>
        <w:t xml:space="preserve">ciatura en </w:t>
      </w:r>
      <w:r w:rsidR="007B7757">
        <w:rPr>
          <w:rFonts w:ascii="Century Gothic" w:hAnsi="Century Gothic" w:cs="Century Gothic"/>
          <w:bCs/>
          <w:sz w:val="18"/>
          <w:szCs w:val="18"/>
        </w:rPr>
        <w:t>Biología, Ingeniero Pesquero, Ingeniero Acuícola, Licenciatura en Ecología, Licenciatura e</w:t>
      </w:r>
      <w:r w:rsidR="007B7757" w:rsidRPr="007B7757">
        <w:rPr>
          <w:rFonts w:ascii="Century Gothic" w:hAnsi="Century Gothic" w:cs="Century Gothic"/>
          <w:bCs/>
          <w:sz w:val="18"/>
          <w:szCs w:val="18"/>
        </w:rPr>
        <w:t>n Ciencias Medio Ambientales,</w:t>
      </w:r>
      <w:r w:rsidR="007B7757">
        <w:rPr>
          <w:rFonts w:ascii="Century Gothic" w:hAnsi="Century Gothic" w:cs="Century Gothic"/>
          <w:bCs/>
          <w:sz w:val="18"/>
          <w:szCs w:val="18"/>
        </w:rPr>
        <w:t xml:space="preserve"> Licenciatura en </w:t>
      </w:r>
      <w:proofErr w:type="spellStart"/>
      <w:r w:rsidR="007B7757">
        <w:rPr>
          <w:rFonts w:ascii="Century Gothic" w:hAnsi="Century Gothic" w:cs="Century Gothic"/>
          <w:bCs/>
          <w:sz w:val="18"/>
          <w:szCs w:val="18"/>
        </w:rPr>
        <w:t>Oceanología</w:t>
      </w:r>
      <w:proofErr w:type="spellEnd"/>
      <w:r w:rsidR="007B7757">
        <w:rPr>
          <w:rFonts w:ascii="Century Gothic" w:hAnsi="Century Gothic" w:cs="Century Gothic"/>
          <w:bCs/>
          <w:sz w:val="18"/>
          <w:szCs w:val="18"/>
        </w:rPr>
        <w:t>, Licenciatura e</w:t>
      </w:r>
      <w:r w:rsidR="007B7757" w:rsidRPr="007B7757">
        <w:rPr>
          <w:rFonts w:ascii="Century Gothic" w:hAnsi="Century Gothic" w:cs="Century Gothic"/>
          <w:bCs/>
          <w:sz w:val="18"/>
          <w:szCs w:val="18"/>
        </w:rPr>
        <w:t>n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B7757" w:rsidRPr="007B7757">
        <w:rPr>
          <w:rFonts w:ascii="Century Gothic" w:hAnsi="Century Gothic" w:cs="Century Gothic"/>
          <w:bCs/>
          <w:sz w:val="18"/>
          <w:szCs w:val="18"/>
        </w:rPr>
        <w:t>Acuícola, pesquera, medio ambiental o administración de proyectos.</w:t>
      </w:r>
    </w:p>
    <w:p w:rsidR="00C53F12" w:rsidRDefault="00C53F12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B7757" w:rsidRDefault="00C53F12" w:rsidP="007B7757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Sector Pesquero, Acuícola</w:t>
      </w:r>
    </w:p>
    <w:p w:rsidR="007B7757" w:rsidRPr="007B7757" w:rsidRDefault="007B7757" w:rsidP="007B7757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elaboración, evaluación o dictamen de proyectos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C53F1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C53F12" w:rsidRDefault="007B775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53F12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B775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B775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B775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B7757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C53F12" w:rsidRDefault="007B775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53F1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C53F12" w:rsidRDefault="00C53F1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B775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C53F12" w:rsidRDefault="007B7757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C53F12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C53F12" w:rsidRDefault="00C53F1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434A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Proyectos de Infraestructura Pesquera y Acuícola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434A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A" w:rsidRDefault="000542FA" w:rsidP="0068032F">
      <w:pPr>
        <w:spacing w:after="0" w:line="240" w:lineRule="auto"/>
      </w:pPr>
      <w:r>
        <w:separator/>
      </w:r>
    </w:p>
  </w:endnote>
  <w:endnote w:type="continuationSeparator" w:id="0">
    <w:p w:rsidR="000542FA" w:rsidRDefault="000542F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434A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Proyectos de Infraestructura Pesquera y Acuícola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C53F12" w:rsidRPr="00C53F12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A" w:rsidRDefault="000542FA" w:rsidP="0068032F">
      <w:pPr>
        <w:spacing w:after="0" w:line="240" w:lineRule="auto"/>
      </w:pPr>
      <w:r>
        <w:separator/>
      </w:r>
    </w:p>
  </w:footnote>
  <w:footnote w:type="continuationSeparator" w:id="0">
    <w:p w:rsidR="000542FA" w:rsidRDefault="000542F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542F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F84"/>
    <w:multiLevelType w:val="hybridMultilevel"/>
    <w:tmpl w:val="156A06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2FA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026AA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250B1"/>
    <w:rsid w:val="007308F7"/>
    <w:rsid w:val="00737010"/>
    <w:rsid w:val="00741F0A"/>
    <w:rsid w:val="007B162C"/>
    <w:rsid w:val="007B7757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53F12"/>
    <w:rsid w:val="00C94B5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434AE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D6B8B"/>
    <w:rsid w:val="00666523"/>
    <w:rsid w:val="006E5DB5"/>
    <w:rsid w:val="00700E68"/>
    <w:rsid w:val="00781C84"/>
    <w:rsid w:val="007B13F8"/>
    <w:rsid w:val="007B326F"/>
    <w:rsid w:val="007D2E02"/>
    <w:rsid w:val="007F621B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F6282-BB07-456A-BB2A-1D19901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74</cp:revision>
  <dcterms:created xsi:type="dcterms:W3CDTF">2016-10-05T01:52:00Z</dcterms:created>
  <dcterms:modified xsi:type="dcterms:W3CDTF">2017-03-30T22:06:00Z</dcterms:modified>
</cp:coreProperties>
</file>