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14" w:rsidRDefault="0005365C" w:rsidP="00705614">
      <w:pPr>
        <w:jc w:val="center"/>
        <w:rPr>
          <w:rFonts w:ascii="GeosansLight" w:hAnsi="GeosansLight"/>
          <w:b/>
          <w:color w:val="0F243E" w:themeColor="text2" w:themeShade="80"/>
          <w:sz w:val="48"/>
          <w:szCs w:val="52"/>
        </w:rPr>
      </w:pPr>
      <w:r>
        <w:rPr>
          <w:rFonts w:ascii="GeosansLight" w:hAnsi="GeosansLight"/>
          <w:b/>
          <w:color w:val="0F243E" w:themeColor="text2" w:themeShade="80"/>
          <w:sz w:val="48"/>
          <w:szCs w:val="52"/>
        </w:rPr>
        <w:t>PRESUPUESTO DE EGRESOS 2012</w:t>
      </w:r>
    </w:p>
    <w:p w:rsidR="00705614" w:rsidRPr="001E3AC5" w:rsidRDefault="00705614" w:rsidP="00705614">
      <w:pPr>
        <w:spacing w:after="0"/>
        <w:jc w:val="center"/>
        <w:rPr>
          <w:rFonts w:ascii="GeosansLight" w:hAnsi="GeosansLight"/>
          <w:b/>
          <w:color w:val="0F243E" w:themeColor="text2" w:themeShade="80"/>
          <w:sz w:val="36"/>
          <w:szCs w:val="52"/>
        </w:rPr>
      </w:pPr>
    </w:p>
    <w:tbl>
      <w:tblPr>
        <w:tblW w:w="11132" w:type="dxa"/>
        <w:jc w:val="center"/>
        <w:tblInd w:w="60" w:type="dxa"/>
        <w:tblCellMar>
          <w:left w:w="70" w:type="dxa"/>
          <w:right w:w="70" w:type="dxa"/>
        </w:tblCellMar>
        <w:tblLook w:val="04A0"/>
      </w:tblPr>
      <w:tblGrid>
        <w:gridCol w:w="3074"/>
        <w:gridCol w:w="1531"/>
        <w:gridCol w:w="1570"/>
        <w:gridCol w:w="1600"/>
        <w:gridCol w:w="1660"/>
        <w:gridCol w:w="1697"/>
      </w:tblGrid>
      <w:tr w:rsidR="00705614" w:rsidRPr="009327DA" w:rsidTr="0010273F">
        <w:trPr>
          <w:trHeight w:val="20"/>
          <w:jc w:val="center"/>
        </w:trPr>
        <w:tc>
          <w:tcPr>
            <w:tcW w:w="3074" w:type="dxa"/>
            <w:vMerge w:val="restart"/>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color w:val="FFFFFF" w:themeColor="background1"/>
                <w:szCs w:val="18"/>
                <w:lang w:eastAsia="es-MX"/>
              </w:rPr>
            </w:pPr>
            <w:r w:rsidRPr="00B0307F">
              <w:rPr>
                <w:rFonts w:ascii="GeosansLight" w:eastAsia="Times New Roman" w:hAnsi="GeosansLight" w:cs="Arial"/>
                <w:b/>
                <w:bCs/>
                <w:color w:val="FFFFFF" w:themeColor="background1"/>
                <w:szCs w:val="18"/>
                <w:lang w:eastAsia="es-MX"/>
              </w:rPr>
              <w:t>PARTIDA PRESUPUESTAL</w:t>
            </w:r>
          </w:p>
        </w:tc>
        <w:tc>
          <w:tcPr>
            <w:tcW w:w="1531" w:type="dxa"/>
            <w:vMerge w:val="restart"/>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color w:val="FFFFFF" w:themeColor="background1"/>
                <w:szCs w:val="20"/>
                <w:lang w:eastAsia="es-MX"/>
              </w:rPr>
            </w:pPr>
            <w:r w:rsidRPr="00B0307F">
              <w:rPr>
                <w:rFonts w:ascii="GeosansLight" w:eastAsia="Times New Roman" w:hAnsi="GeosansLight" w:cs="Arial"/>
                <w:b/>
                <w:bCs/>
                <w:color w:val="FFFFFF" w:themeColor="background1"/>
                <w:szCs w:val="20"/>
                <w:lang w:eastAsia="es-MX"/>
              </w:rPr>
              <w:t>TOTAL 2011</w:t>
            </w:r>
          </w:p>
        </w:tc>
        <w:tc>
          <w:tcPr>
            <w:tcW w:w="6527" w:type="dxa"/>
            <w:gridSpan w:val="4"/>
            <w:shd w:val="clear" w:color="auto" w:fill="0070C0"/>
            <w:noWrap/>
            <w:vAlign w:val="center"/>
            <w:hideMark/>
          </w:tcPr>
          <w:p w:rsidR="00705614" w:rsidRPr="00B0307F" w:rsidRDefault="00705614" w:rsidP="0010273F">
            <w:pPr>
              <w:spacing w:after="0" w:line="240" w:lineRule="auto"/>
              <w:jc w:val="center"/>
              <w:rPr>
                <w:rFonts w:ascii="GeosansLight" w:eastAsia="Times New Roman" w:hAnsi="GeosansLight" w:cs="Arial"/>
                <w:b/>
                <w:bCs/>
                <w:color w:val="FFFFFF" w:themeColor="background1"/>
                <w:szCs w:val="20"/>
                <w:lang w:eastAsia="es-MX"/>
              </w:rPr>
            </w:pPr>
            <w:r w:rsidRPr="00B0307F">
              <w:rPr>
                <w:rFonts w:ascii="GeosansLight" w:eastAsia="Times New Roman" w:hAnsi="GeosansLight" w:cs="Arial"/>
                <w:b/>
                <w:bCs/>
                <w:color w:val="FFFFFF" w:themeColor="background1"/>
                <w:szCs w:val="20"/>
                <w:lang w:eastAsia="es-MX"/>
              </w:rPr>
              <w:t>CENTRO DE TRABAJO</w:t>
            </w:r>
          </w:p>
        </w:tc>
      </w:tr>
      <w:tr w:rsidR="00705614" w:rsidRPr="009327DA" w:rsidTr="0010273F">
        <w:trPr>
          <w:trHeight w:val="20"/>
          <w:jc w:val="center"/>
        </w:trPr>
        <w:tc>
          <w:tcPr>
            <w:tcW w:w="3074" w:type="dxa"/>
            <w:vMerge/>
            <w:shd w:val="clear" w:color="auto" w:fill="0070C0"/>
            <w:vAlign w:val="center"/>
            <w:hideMark/>
          </w:tcPr>
          <w:p w:rsidR="00705614" w:rsidRPr="00B0307F" w:rsidRDefault="00705614" w:rsidP="0010273F">
            <w:pPr>
              <w:spacing w:after="0" w:line="240" w:lineRule="auto"/>
              <w:rPr>
                <w:rFonts w:ascii="GeosansLight" w:eastAsia="Times New Roman" w:hAnsi="GeosansLight" w:cs="Arial"/>
                <w:b/>
                <w:bCs/>
                <w:color w:val="FFFFFF" w:themeColor="background1"/>
                <w:szCs w:val="18"/>
                <w:lang w:eastAsia="es-MX"/>
              </w:rPr>
            </w:pPr>
          </w:p>
        </w:tc>
        <w:tc>
          <w:tcPr>
            <w:tcW w:w="1531" w:type="dxa"/>
            <w:vMerge/>
            <w:shd w:val="clear" w:color="auto" w:fill="0070C0"/>
            <w:vAlign w:val="center"/>
            <w:hideMark/>
          </w:tcPr>
          <w:p w:rsidR="00705614" w:rsidRPr="00B0307F" w:rsidRDefault="00705614" w:rsidP="0010273F">
            <w:pPr>
              <w:spacing w:after="0" w:line="240" w:lineRule="auto"/>
              <w:rPr>
                <w:rFonts w:ascii="GeosansLight" w:eastAsia="Times New Roman" w:hAnsi="GeosansLight" w:cs="Arial"/>
                <w:b/>
                <w:bCs/>
                <w:color w:val="FFFFFF" w:themeColor="background1"/>
                <w:szCs w:val="20"/>
                <w:lang w:eastAsia="es-MX"/>
              </w:rPr>
            </w:pPr>
          </w:p>
        </w:tc>
        <w:tc>
          <w:tcPr>
            <w:tcW w:w="1570"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Coordinación General</w:t>
            </w:r>
          </w:p>
        </w:tc>
        <w:tc>
          <w:tcPr>
            <w:tcW w:w="1600"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Dirección General de Organización Social</w:t>
            </w:r>
          </w:p>
        </w:tc>
        <w:tc>
          <w:tcPr>
            <w:tcW w:w="1660"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Dirección General de Concertación y Apoyo Técnico</w:t>
            </w:r>
          </w:p>
        </w:tc>
        <w:tc>
          <w:tcPr>
            <w:tcW w:w="1697"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Dirección General de Administración y Finanzas</w:t>
            </w:r>
          </w:p>
        </w:tc>
      </w:tr>
      <w:tr w:rsidR="00705614" w:rsidRPr="009327DA" w:rsidTr="0010273F">
        <w:trPr>
          <w:trHeight w:val="170"/>
          <w:jc w:val="center"/>
        </w:trPr>
        <w:tc>
          <w:tcPr>
            <w:tcW w:w="3074" w:type="dxa"/>
            <w:tcBorders>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255"/>
          <w:jc w:val="center"/>
        </w:trPr>
        <w:tc>
          <w:tcPr>
            <w:tcW w:w="3074"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SERVICIOS PERSONALES</w:t>
            </w:r>
          </w:p>
        </w:tc>
        <w:tc>
          <w:tcPr>
            <w:tcW w:w="1531"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17,552,257.70</w:t>
            </w:r>
          </w:p>
        </w:tc>
        <w:tc>
          <w:tcPr>
            <w:tcW w:w="157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4,368,792.87</w:t>
            </w:r>
          </w:p>
        </w:tc>
        <w:tc>
          <w:tcPr>
            <w:tcW w:w="160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3,902,054.11</w:t>
            </w:r>
          </w:p>
        </w:tc>
        <w:tc>
          <w:tcPr>
            <w:tcW w:w="166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4,755,714.61</w:t>
            </w:r>
          </w:p>
        </w:tc>
        <w:tc>
          <w:tcPr>
            <w:tcW w:w="1697"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4,525,696.11</w:t>
            </w: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MATERIALES Y SUMINISTROS</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2,162,362.50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378,650.00</w:t>
            </w: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587,550.00</w:t>
            </w: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485,954.00</w:t>
            </w: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710,208.50</w:t>
            </w: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SERVICIOS GENERALES</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4,653,939.20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505,380.00</w:t>
            </w: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975,970.00</w:t>
            </w: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543,125.00</w:t>
            </w: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2,629,464.20</w:t>
            </w: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BIENES MUEBLES E INMUEBLES</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r>
      <w:tr w:rsidR="00705614" w:rsidRPr="009327DA" w:rsidTr="0010273F">
        <w:trPr>
          <w:trHeight w:val="170"/>
          <w:jc w:val="center"/>
        </w:trPr>
        <w:tc>
          <w:tcPr>
            <w:tcW w:w="3074" w:type="dxa"/>
            <w:tcBorders>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340"/>
          <w:jc w:val="center"/>
        </w:trPr>
        <w:tc>
          <w:tcPr>
            <w:tcW w:w="3074"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TOTAL GASTO DE OPERACIÓN</w:t>
            </w:r>
          </w:p>
        </w:tc>
        <w:tc>
          <w:tcPr>
            <w:tcW w:w="1531"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24,368,559.40</w:t>
            </w:r>
          </w:p>
        </w:tc>
        <w:tc>
          <w:tcPr>
            <w:tcW w:w="1570"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5,252,822.87</w:t>
            </w:r>
          </w:p>
        </w:tc>
        <w:tc>
          <w:tcPr>
            <w:tcW w:w="1600"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5,465,574.11</w:t>
            </w:r>
          </w:p>
        </w:tc>
        <w:tc>
          <w:tcPr>
            <w:tcW w:w="1660"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5,784,793.61</w:t>
            </w:r>
          </w:p>
        </w:tc>
        <w:tc>
          <w:tcPr>
            <w:tcW w:w="1697"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7,865,368.81</w:t>
            </w:r>
          </w:p>
        </w:tc>
      </w:tr>
      <w:tr w:rsidR="00705614" w:rsidRPr="009327DA" w:rsidTr="0010273F">
        <w:trPr>
          <w:trHeight w:val="170"/>
          <w:jc w:val="center"/>
        </w:trPr>
        <w:tc>
          <w:tcPr>
            <w:tcW w:w="3074" w:type="dxa"/>
            <w:tcBorders>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255"/>
          <w:jc w:val="center"/>
        </w:trPr>
        <w:tc>
          <w:tcPr>
            <w:tcW w:w="3074"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ESTATAL DIRECTO</w:t>
            </w:r>
          </w:p>
        </w:tc>
        <w:tc>
          <w:tcPr>
            <w:tcW w:w="1531"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130,000,000.00</w:t>
            </w:r>
          </w:p>
        </w:tc>
        <w:tc>
          <w:tcPr>
            <w:tcW w:w="157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PROGRAMA ESPECIAL</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 xml:space="preserve"> GESTIÓN SOCIAL EMERGENTE</w:t>
            </w:r>
          </w:p>
        </w:tc>
        <w:tc>
          <w:tcPr>
            <w:tcW w:w="1531" w:type="dxa"/>
            <w:tcBorders>
              <w:top w:val="nil"/>
            </w:tcBorders>
            <w:shd w:val="clear" w:color="auto" w:fill="8DB3E2" w:themeFill="text2" w:themeFillTint="66"/>
            <w:noWrap/>
            <w:vAlign w:val="center"/>
            <w:hideMark/>
          </w:tcPr>
          <w:p w:rsidR="00705614" w:rsidRPr="00B0307F" w:rsidRDefault="0005365C" w:rsidP="0010273F">
            <w:pPr>
              <w:spacing w:after="0" w:line="240" w:lineRule="auto"/>
              <w:jc w:val="center"/>
              <w:rPr>
                <w:rFonts w:ascii="Times New Roman" w:eastAsia="Times New Roman" w:hAnsi="Times New Roman" w:cs="Times New Roman"/>
                <w:b/>
                <w:color w:val="000000"/>
                <w:sz w:val="18"/>
                <w:szCs w:val="20"/>
                <w:lang w:eastAsia="es-MX"/>
              </w:rPr>
            </w:pPr>
            <w:r>
              <w:rPr>
                <w:rFonts w:ascii="Times New Roman" w:eastAsia="Times New Roman" w:hAnsi="Times New Roman" w:cs="Times New Roman"/>
                <w:b/>
                <w:color w:val="000000"/>
                <w:sz w:val="18"/>
                <w:szCs w:val="20"/>
                <w:lang w:eastAsia="es-MX"/>
              </w:rPr>
              <w:t>36,681,460.00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7529ED" w:rsidTr="0010273F">
        <w:trPr>
          <w:trHeight w:val="340"/>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JUNTA ESTATAL DE PARTICIPACIÓN SOCIAL</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36,681,460.00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9327DA" w:rsidTr="0010273F">
        <w:trPr>
          <w:trHeight w:val="170"/>
          <w:jc w:val="center"/>
        </w:trPr>
        <w:tc>
          <w:tcPr>
            <w:tcW w:w="3074" w:type="dxa"/>
            <w:tcBorders>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340"/>
          <w:jc w:val="center"/>
        </w:trPr>
        <w:tc>
          <w:tcPr>
            <w:tcW w:w="3074"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TOTAL GASTO DE INVERSIÓN</w:t>
            </w:r>
          </w:p>
        </w:tc>
        <w:tc>
          <w:tcPr>
            <w:tcW w:w="1531"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2</w:t>
            </w:r>
            <w:r w:rsidR="0005365C">
              <w:rPr>
                <w:rFonts w:ascii="Times New Roman" w:eastAsia="Times New Roman" w:hAnsi="Times New Roman" w:cs="Times New Roman"/>
                <w:b/>
                <w:color w:val="FFFFFF" w:themeColor="background1"/>
                <w:sz w:val="20"/>
                <w:szCs w:val="20"/>
                <w:lang w:eastAsia="es-MX"/>
              </w:rPr>
              <w:t>03,362,920.00</w:t>
            </w:r>
          </w:p>
        </w:tc>
        <w:tc>
          <w:tcPr>
            <w:tcW w:w="1570"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c>
          <w:tcPr>
            <w:tcW w:w="1600"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c>
          <w:tcPr>
            <w:tcW w:w="1660"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c>
          <w:tcPr>
            <w:tcW w:w="1697"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r>
      <w:tr w:rsidR="00705614" w:rsidRPr="009327DA" w:rsidTr="0010273F">
        <w:trPr>
          <w:trHeight w:val="170"/>
          <w:jc w:val="center"/>
        </w:trPr>
        <w:tc>
          <w:tcPr>
            <w:tcW w:w="3074"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B0307F" w:rsidTr="0010273F">
        <w:trPr>
          <w:trHeight w:val="340"/>
          <w:jc w:val="center"/>
        </w:trPr>
        <w:tc>
          <w:tcPr>
            <w:tcW w:w="3074"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TOTAL PRESUPUESTO 201</w:t>
            </w:r>
            <w:r w:rsidR="0005365C">
              <w:rPr>
                <w:rFonts w:ascii="Times New Roman" w:eastAsia="Times New Roman" w:hAnsi="Times New Roman" w:cs="Times New Roman"/>
                <w:b/>
                <w:color w:val="FFFFFF" w:themeColor="background1"/>
                <w:szCs w:val="20"/>
                <w:lang w:eastAsia="es-MX"/>
              </w:rPr>
              <w:t>2</w:t>
            </w:r>
          </w:p>
        </w:tc>
        <w:tc>
          <w:tcPr>
            <w:tcW w:w="1531"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2</w:t>
            </w:r>
            <w:r w:rsidR="0005365C">
              <w:rPr>
                <w:rFonts w:ascii="Times New Roman" w:eastAsia="Times New Roman" w:hAnsi="Times New Roman" w:cs="Times New Roman"/>
                <w:b/>
                <w:color w:val="FFFFFF" w:themeColor="background1"/>
                <w:szCs w:val="20"/>
                <w:lang w:eastAsia="es-MX"/>
              </w:rPr>
              <w:t>27,731,479.40</w:t>
            </w:r>
          </w:p>
        </w:tc>
        <w:tc>
          <w:tcPr>
            <w:tcW w:w="1570"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5,252,822.87</w:t>
            </w:r>
          </w:p>
        </w:tc>
        <w:tc>
          <w:tcPr>
            <w:tcW w:w="1600"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5,465,574.11</w:t>
            </w:r>
          </w:p>
        </w:tc>
        <w:tc>
          <w:tcPr>
            <w:tcW w:w="1660"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5,784,793.61</w:t>
            </w:r>
          </w:p>
        </w:tc>
        <w:tc>
          <w:tcPr>
            <w:tcW w:w="1697"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7,865,368.81</w:t>
            </w:r>
          </w:p>
        </w:tc>
      </w:tr>
    </w:tbl>
    <w:p w:rsidR="0005365C" w:rsidRDefault="0005365C" w:rsidP="0005365C">
      <w:pPr>
        <w:spacing w:line="240" w:lineRule="auto"/>
        <w:jc w:val="both"/>
        <w:rPr>
          <w:b/>
        </w:rPr>
      </w:pPr>
    </w:p>
    <w:p w:rsidR="00705614" w:rsidRDefault="0005365C" w:rsidP="0005365C">
      <w:pPr>
        <w:spacing w:line="240" w:lineRule="auto"/>
        <w:jc w:val="both"/>
        <w:rPr>
          <w:b/>
        </w:rPr>
      </w:pPr>
      <w:r>
        <w:rPr>
          <w:b/>
        </w:rPr>
        <w:t>EN ATENCIÓN AL ACUERDO PUBLICADO POR LA SECRETARÍA DE HACIENDA EN EL BOLETÍN OFICIAL DEL GOBI</w:t>
      </w:r>
      <w:r w:rsidR="00294C48">
        <w:rPr>
          <w:b/>
        </w:rPr>
        <w:t>ERNO DEL ESTADO No. 3 SECCIÓN I DEL</w:t>
      </w:r>
      <w:r>
        <w:rPr>
          <w:b/>
        </w:rPr>
        <w:t xml:space="preserve"> LUNES 9 DE ENERO DE 2012, QUE DECLARA QUE PARA EL EJERCICIO FISCAL 2012, CONTINUARÁN EN VIGOR LAS DISPOSICIONES CONTENIDAS EN EL PRESUPUESTO DE EGERSOS 2011, POR LO QUE SE PRESENTA PARA CECOP EL PRESUPUESTO DE EGRESOS 2012 IGUAL AL AUTORIZADAO EN 2011.</w:t>
      </w:r>
    </w:p>
    <w:sectPr w:rsidR="00705614" w:rsidSect="00F17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sansLight">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5614"/>
    <w:rsid w:val="0005365C"/>
    <w:rsid w:val="001611FE"/>
    <w:rsid w:val="00294C48"/>
    <w:rsid w:val="006644D6"/>
    <w:rsid w:val="00705614"/>
    <w:rsid w:val="00752A8E"/>
    <w:rsid w:val="00B642E9"/>
    <w:rsid w:val="00C003B7"/>
    <w:rsid w:val="00D70E6A"/>
    <w:rsid w:val="00E84055"/>
    <w:rsid w:val="00F17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1163</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Petunia</dc:creator>
  <cp:keywords/>
  <dc:description/>
  <cp:lastModifiedBy>VERO MONTES</cp:lastModifiedBy>
  <cp:revision>4</cp:revision>
  <dcterms:created xsi:type="dcterms:W3CDTF">2012-03-06T18:41:00Z</dcterms:created>
  <dcterms:modified xsi:type="dcterms:W3CDTF">2012-03-06T18:47:00Z</dcterms:modified>
</cp:coreProperties>
</file>