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B10B1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87236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B10B1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336840">
        <w:t>07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630A4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</w:t>
            </w:r>
            <w:r w:rsidR="00434D74">
              <w:rPr>
                <w:rFonts w:ascii="Century Gothic" w:hAnsi="Century Gothic" w:cs="Century Gothic"/>
                <w:bCs/>
                <w:sz w:val="18"/>
                <w:szCs w:val="18"/>
              </w:rPr>
              <w:t>Capacitación</w:t>
            </w:r>
            <w:r w:rsidR="00F2240D">
              <w:rPr>
                <w:rFonts w:ascii="Century Gothic" w:hAnsi="Century Gothic" w:cs="Century Gothic"/>
                <w:bCs/>
                <w:sz w:val="18"/>
                <w:szCs w:val="18"/>
              </w:rPr>
              <w:t>, Vinculación y Comunicación Social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4867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486740">
              <w:rPr>
                <w:rFonts w:ascii="Century Gothic" w:hAnsi="Century Gothic" w:cs="Century Gothic"/>
                <w:sz w:val="18"/>
                <w:szCs w:val="18"/>
              </w:rPr>
              <w:t>de 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486740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1653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486740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A6C3E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434D74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434D74" w:rsidRDefault="00434D74" w:rsidP="00342D88">
      <w:r w:rsidRPr="00434D74">
        <w:rPr>
          <w:rFonts w:ascii="Century Gothic" w:hAnsi="Century Gothic" w:cs="Century Gothic"/>
          <w:iCs/>
          <w:sz w:val="18"/>
          <w:szCs w:val="18"/>
        </w:rPr>
        <w:t>Planear, organizar, controlar y evaluar programas y proyectos de capacitación, vinculación y comunicación</w:t>
      </w:r>
      <w:r>
        <w:rPr>
          <w:rFonts w:ascii="Century Gothic" w:hAnsi="Century Gothic" w:cs="Century Gothic"/>
          <w:iCs/>
          <w:sz w:val="18"/>
          <w:szCs w:val="18"/>
        </w:rPr>
        <w:t>.</w:t>
      </w: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434D74" w:rsidRPr="00FB1BE9" w:rsidRDefault="00B10B1C" w:rsidP="00434D7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Presentar al P</w:t>
            </w:r>
            <w:r w:rsidR="00434D74">
              <w:rPr>
                <w:rFonts w:ascii="Century Gothic" w:hAnsi="Century Gothic" w:cs="Century Gothic"/>
                <w:sz w:val="18"/>
                <w:szCs w:val="18"/>
              </w:rPr>
              <w:t>leno la propuesta de programas, proyectos y acciones.</w:t>
            </w:r>
          </w:p>
          <w:p w:rsidR="00434D74" w:rsidRPr="00FB1BE9" w:rsidRDefault="00434D74" w:rsidP="00434D7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y difundir programas de capacitación, foros, seminarios, talleres.</w:t>
            </w:r>
          </w:p>
          <w:p w:rsidR="00434D74" w:rsidRPr="00FB1BE9" w:rsidRDefault="00434D74" w:rsidP="00434D7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Fomentar relaciones y establecer mecanismos de coordinación </w:t>
            </w:r>
            <w:r w:rsidR="00B10B1C">
              <w:rPr>
                <w:rFonts w:ascii="Century Gothic" w:hAnsi="Century Gothic" w:cs="Century Gothic"/>
                <w:sz w:val="18"/>
                <w:szCs w:val="18"/>
              </w:rPr>
              <w:t>y colaboración con poderes del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stado y Tribunales.</w:t>
            </w:r>
          </w:p>
          <w:p w:rsidR="00342D88" w:rsidRPr="00417140" w:rsidRDefault="00434D74" w:rsidP="0041714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a la plena celebración de convenios con universidades.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B10B1C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34D74" w:rsidRDefault="00434D74" w:rsidP="00434D7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Magistrados y personal que</w:t>
            </w:r>
            <w:r w:rsidR="00B10B1C">
              <w:rPr>
                <w:rFonts w:ascii="Century Gothic" w:hAnsi="Century Gothic" w:cs="Century Gothic"/>
                <w:sz w:val="18"/>
                <w:szCs w:val="18"/>
              </w:rPr>
              <w:t xml:space="preserve"> integran el pleno del Tribunal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B427DC" w:rsidRDefault="00B10B1C" w:rsidP="0041714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 Diversas dependencias del Gobierno, O</w:t>
            </w:r>
            <w:r w:rsidR="00434D74">
              <w:rPr>
                <w:rFonts w:ascii="Century Gothic" w:hAnsi="Century Gothic" w:cs="Century Gothic"/>
                <w:sz w:val="18"/>
                <w:szCs w:val="18"/>
              </w:rPr>
              <w:t>rganismos.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34D74" w:rsidRDefault="00434D74" w:rsidP="00434D7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Tribunales de todos los Estados.</w:t>
            </w:r>
          </w:p>
          <w:p w:rsidR="00434D74" w:rsidRDefault="00434D74" w:rsidP="00434D7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Universidades particulares.</w:t>
            </w:r>
          </w:p>
          <w:p w:rsidR="007F322E" w:rsidRPr="007F322E" w:rsidRDefault="007F322E" w:rsidP="00434D7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17140" w:rsidRDefault="00417140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434D74" w:rsidRDefault="00B10B1C" w:rsidP="00434D74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434D74">
              <w:rPr>
                <w:rFonts w:ascii="Century Gothic" w:hAnsi="Century Gothic" w:cs="Century Gothic"/>
                <w:sz w:val="18"/>
                <w:szCs w:val="18"/>
              </w:rPr>
              <w:t>mero de capacitaciones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romovidas para el personal del T</w:t>
            </w:r>
            <w:r w:rsidR="00434D74">
              <w:rPr>
                <w:rFonts w:ascii="Century Gothic" w:hAnsi="Century Gothic" w:cs="Century Gothic"/>
                <w:sz w:val="18"/>
                <w:szCs w:val="18"/>
              </w:rPr>
              <w:t>ribunal.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10B1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34D7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B10B1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434D7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34D7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417140">
        <w:rPr>
          <w:rFonts w:ascii="Century Gothic" w:hAnsi="Century Gothic" w:cs="Century Gothic"/>
          <w:sz w:val="18"/>
          <w:szCs w:val="18"/>
        </w:rPr>
        <w:t xml:space="preserve">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34D74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434D74">
        <w:rPr>
          <w:rFonts w:ascii="Century Gothic" w:hAnsi="Century Gothic" w:cs="Century Gothic"/>
          <w:bCs/>
          <w:sz w:val="18"/>
          <w:szCs w:val="18"/>
        </w:rPr>
        <w:t>Licenciat</w:t>
      </w:r>
      <w:r w:rsidR="00B10B1C">
        <w:rPr>
          <w:rFonts w:ascii="Century Gothic" w:hAnsi="Century Gothic" w:cs="Century Gothic"/>
          <w:bCs/>
          <w:sz w:val="18"/>
          <w:szCs w:val="18"/>
        </w:rPr>
        <w:t>ura en Derecho, Administración Pública o afín</w:t>
      </w:r>
      <w:r w:rsidR="00434D74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40FC8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34D74" w:rsidRPr="00A2393A">
        <w:rPr>
          <w:rFonts w:ascii="Century Gothic" w:hAnsi="Century Gothic" w:cs="Century Gothic"/>
          <w:sz w:val="18"/>
          <w:szCs w:val="18"/>
        </w:rPr>
        <w:t xml:space="preserve">Tiempo </w:t>
      </w:r>
      <w:r w:rsidR="00A2393A" w:rsidRPr="00A2393A">
        <w:rPr>
          <w:rFonts w:ascii="Century Gothic" w:hAnsi="Century Gothic" w:cs="Century Gothic"/>
          <w:sz w:val="18"/>
          <w:szCs w:val="18"/>
        </w:rPr>
        <w:t>indeterminado</w:t>
      </w:r>
      <w:r w:rsidR="00B10B1C" w:rsidRPr="00A2393A">
        <w:rPr>
          <w:rFonts w:ascii="Century Gothic" w:hAnsi="Century Gothic" w:cs="Century Gothic"/>
          <w:sz w:val="18"/>
          <w:szCs w:val="18"/>
        </w:rPr>
        <w:t xml:space="preserve"> en Capacitación y Vinculación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B10B1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41714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B10B1C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10B1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34D74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10B1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34D7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434D74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17140" w:rsidRDefault="00417140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36840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Capacitación</w:t>
            </w:r>
            <w:r w:rsidR="00F2240D">
              <w:rPr>
                <w:rFonts w:ascii="Century Gothic" w:hAnsi="Century Gothic" w:cs="Century Gothic"/>
                <w:bCs/>
                <w:sz w:val="18"/>
                <w:szCs w:val="18"/>
              </w:rPr>
              <w:t>, Vinculación y Comunicación Social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A6C3E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Pr="00336840" w:rsidRDefault="0033684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>Director de Capacitación</w:t>
    </w:r>
    <w:r w:rsidR="007952E4">
      <w:rPr>
        <w:rFonts w:asciiTheme="majorHAnsi" w:hAnsiTheme="majorHAnsi"/>
        <w:b/>
      </w:rPr>
      <w:t>, Vinculación y Comunicación Social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0B260D">
      <w:fldChar w:fldCharType="begin"/>
    </w:r>
    <w:r w:rsidR="008B6EFD">
      <w:instrText xml:space="preserve"> PAGE   \* MERGEFORMAT </w:instrText>
    </w:r>
    <w:r w:rsidR="000B260D">
      <w:fldChar w:fldCharType="separate"/>
    </w:r>
    <w:r w:rsidR="00417140" w:rsidRPr="00417140">
      <w:rPr>
        <w:rFonts w:asciiTheme="majorHAnsi" w:hAnsiTheme="majorHAnsi"/>
        <w:noProof/>
      </w:rPr>
      <w:t>4</w:t>
    </w:r>
    <w:r w:rsidR="000B260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41714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8723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1322B"/>
    <w:rsid w:val="00054E31"/>
    <w:rsid w:val="000630A4"/>
    <w:rsid w:val="0007300F"/>
    <w:rsid w:val="000B260D"/>
    <w:rsid w:val="000B7DAA"/>
    <w:rsid w:val="0010290A"/>
    <w:rsid w:val="00102BBD"/>
    <w:rsid w:val="001146C1"/>
    <w:rsid w:val="00145952"/>
    <w:rsid w:val="001511EB"/>
    <w:rsid w:val="0017200E"/>
    <w:rsid w:val="00187236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16534"/>
    <w:rsid w:val="00336840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17140"/>
    <w:rsid w:val="00434D74"/>
    <w:rsid w:val="0044679F"/>
    <w:rsid w:val="0045248D"/>
    <w:rsid w:val="00467CD3"/>
    <w:rsid w:val="00474A4E"/>
    <w:rsid w:val="00486740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952E4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2393A"/>
    <w:rsid w:val="00A333D4"/>
    <w:rsid w:val="00A45295"/>
    <w:rsid w:val="00A90AB2"/>
    <w:rsid w:val="00AB0D64"/>
    <w:rsid w:val="00AC7D22"/>
    <w:rsid w:val="00AD2C81"/>
    <w:rsid w:val="00AF3BE8"/>
    <w:rsid w:val="00B00DB2"/>
    <w:rsid w:val="00B10B1C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A6C3E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2240D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0E00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9707B-E4F5-40DD-9F29-36BEE8A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87</cp:revision>
  <cp:lastPrinted>2017-03-10T20:24:00Z</cp:lastPrinted>
  <dcterms:created xsi:type="dcterms:W3CDTF">2016-10-05T01:52:00Z</dcterms:created>
  <dcterms:modified xsi:type="dcterms:W3CDTF">2019-09-17T16:45:00Z</dcterms:modified>
</cp:coreProperties>
</file>