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C4" w:rsidRPr="00922E7F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Tabla de aplicabilidad de las Obligaciones de transparencia </w:t>
      </w:r>
      <w:proofErr w:type="gramStart"/>
      <w:r w:rsidR="000A1180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comunes </w:t>
      </w:r>
      <w:r w:rsidR="00DB472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de</w:t>
      </w:r>
      <w:proofErr w:type="gramEnd"/>
      <w:r w:rsidR="00DB472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</w:t>
      </w:r>
      <w:r w:rsidR="00EF150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Fondo Estatal de Solidaridad (FES)</w:t>
      </w:r>
      <w:bookmarkStart w:id="0" w:name="_GoBack"/>
      <w:bookmarkEnd w:id="0"/>
    </w:p>
    <w:p w:rsidR="00554264" w:rsidRDefault="00554264" w:rsidP="00667E9A">
      <w:pPr>
        <w:spacing w:after="0" w:line="240" w:lineRule="auto"/>
        <w:ind w:left="851"/>
        <w:jc w:val="both"/>
        <w:rPr>
          <w:i/>
        </w:rPr>
      </w:pPr>
    </w:p>
    <w:p w:rsidR="004078CA" w:rsidRPr="004078CA" w:rsidRDefault="004078CA" w:rsidP="004078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81</w:t>
      </w:r>
      <w:r w:rsidR="00667E9A" w:rsidRPr="00554264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.</w:t>
      </w:r>
      <w:r w:rsidR="00667E9A">
        <w:rPr>
          <w:i/>
        </w:rPr>
        <w:t xml:space="preserve"> </w:t>
      </w:r>
      <w:r w:rsidRPr="004078CA">
        <w:rPr>
          <w:rFonts w:cstheme="minorHAnsi"/>
          <w:i/>
        </w:rPr>
        <w:t>Los sujetos obligados deberán poner a disposición del público y mantener actualizada, en los respectivos portales y sitios de internet, de conformidad con lo dispuesto en el presente Capítulo y de acuerdo con sus facultades, atribuciones, funciones u objeto social, según corresponda, la información de los temas, documentos y políticas que establece el artículo 70 de la Ley General, así como también la siguiente información adicional:</w:t>
      </w:r>
    </w:p>
    <w:p w:rsidR="00864C64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49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55"/>
        <w:gridCol w:w="1450"/>
        <w:gridCol w:w="1450"/>
        <w:gridCol w:w="743"/>
        <w:gridCol w:w="2912"/>
        <w:gridCol w:w="2832"/>
        <w:gridCol w:w="2553"/>
      </w:tblGrid>
      <w:tr w:rsidR="00951EA4" w:rsidRPr="00864C64" w:rsidTr="00DD6FC4">
        <w:trPr>
          <w:trHeight w:val="132"/>
          <w:tblHeader/>
        </w:trPr>
        <w:tc>
          <w:tcPr>
            <w:tcW w:w="370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562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62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864C64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05" w:type="pct"/>
            <w:gridSpan w:val="4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B2460F" w:rsidRPr="00864C64" w:rsidTr="00DD6FC4">
        <w:trPr>
          <w:trHeight w:val="1334"/>
          <w:tblHeader/>
        </w:trPr>
        <w:tc>
          <w:tcPr>
            <w:tcW w:w="370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98" w:type="pct"/>
            <w:shd w:val="clear" w:color="000000" w:fill="60497A"/>
            <w:vAlign w:val="center"/>
            <w:hideMark/>
          </w:tcPr>
          <w:p w:rsidR="00951EA4" w:rsidRPr="00864C64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990" w:type="pc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91347C" w:rsidRPr="00864C64" w:rsidTr="00DD6FC4">
        <w:trPr>
          <w:trHeight w:val="1790"/>
        </w:trPr>
        <w:tc>
          <w:tcPr>
            <w:tcW w:w="370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DB472D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Estatal</w:t>
            </w:r>
            <w:r w:rsidR="0091347C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Poder Ejecutivo</w:t>
            </w:r>
            <w:r w:rsidR="00DB472D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111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  <w:shd w:val="clear" w:color="000000" w:fill="FFFFFF"/>
            <w:vAlign w:val="center"/>
            <w:hideMark/>
          </w:tcPr>
          <w:p w:rsidR="00F81885" w:rsidRPr="00DB472D" w:rsidRDefault="00F81885" w:rsidP="00DB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472D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Organismo descentralizado</w:t>
            </w:r>
          </w:p>
          <w:p w:rsid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91347C" w:rsidRPr="00045F54" w:rsidRDefault="00045F54" w:rsidP="00864C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5F54">
              <w:rPr>
                <w:rFonts w:cstheme="minorHAnsi"/>
                <w:sz w:val="20"/>
                <w:szCs w:val="20"/>
              </w:rPr>
              <w:t>Dentro del formato que especifique su estructura orgánica, se deberá aclarar el nivel salarial o tabular de cada servidor público, prestador de servicios profesionales o miembro de los sujetos obligados, así como los puestos vacantes de dicha estructura y los requisitos para poder acceder a los mismos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91347C" w:rsidRPr="0091347C" w:rsidRDefault="0091347C" w:rsidP="00DB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91347C" w:rsidRPr="00864C64" w:rsidRDefault="002944CD" w:rsidP="0029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</w:p>
        </w:tc>
      </w:tr>
      <w:tr w:rsidR="00734655" w:rsidRPr="00864C64" w:rsidTr="00DD6FC4">
        <w:trPr>
          <w:trHeight w:val="155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045F54" w:rsidRPr="00045F54" w:rsidRDefault="00045F54" w:rsidP="00045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5F54">
              <w:rPr>
                <w:rFonts w:cstheme="minorHAnsi"/>
                <w:sz w:val="20"/>
                <w:szCs w:val="20"/>
              </w:rPr>
              <w:t xml:space="preserve"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</w:t>
            </w:r>
            <w:r w:rsidRPr="00045F54">
              <w:rPr>
                <w:rFonts w:cstheme="minorHAnsi"/>
                <w:sz w:val="20"/>
                <w:szCs w:val="20"/>
              </w:rPr>
              <w:lastRenderedPageBreak/>
              <w:t>confianza u honorarios y personal de base. El directorio deberá incluir, al menos el nombre, fotografía, cargo o nombramiento asignado, versión pública de su currículo, nivel del puesto en la estructura orgánica, fecha de alta en el cargo, número telefónico, domicilio para recibir correspondencia y dirección de correo electrónico oficiales.</w:t>
            </w:r>
          </w:p>
          <w:p w:rsidR="00734655" w:rsidRPr="00045F54" w:rsidRDefault="00734655" w:rsidP="00045F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5F5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29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DD6FC4">
        <w:trPr>
          <w:trHeight w:val="717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045F54" w:rsidRDefault="00045F54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5F54">
              <w:rPr>
                <w:rFonts w:cstheme="minorHAnsi"/>
                <w:sz w:val="20"/>
                <w:szCs w:val="20"/>
              </w:rPr>
              <w:t>La remuneración bruta y neta de todos los Servidores Públicos de base o de confianza, prestadores de servicios profesionales o miembros de los sujetos obligados; incluyendo todas las percepciones, sueldos, prestaciones, gratificaciones, primas, comisiones, dietas, bonos, estímulos, ingresos y sistemas de compensación, señalando la periodicidad de dicha remuneración y debiendo incluir adicionalmente lo relativo al tipo de seguridad social con el que cuentan;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67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DD6FC4">
        <w:trPr>
          <w:trHeight w:val="103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907A56" w:rsidRPr="00907A56" w:rsidRDefault="00907A56" w:rsidP="0090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Los servicios a su cargo y los trámites, requisitos y formatos correspondientes y, en su caso, el</w:t>
            </w:r>
          </w:p>
          <w:p w:rsidR="00907A56" w:rsidRPr="00907A56" w:rsidRDefault="00907A56" w:rsidP="0090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monto de los derechos para acceder a los mismos, debiendo incluir además información sobre la población a la cual están destinados los programas;</w:t>
            </w: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</w:p>
        </w:tc>
      </w:tr>
      <w:tr w:rsidR="00734655" w:rsidRPr="00864C64" w:rsidTr="00DD6FC4">
        <w:trPr>
          <w:trHeight w:val="205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907A56" w:rsidRPr="00907A56" w:rsidRDefault="00907A56" w:rsidP="0090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La información relativa a gastos de representación y viáticos deberá presentarse de manera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7A56">
              <w:rPr>
                <w:rFonts w:cstheme="minorHAnsi"/>
                <w:sz w:val="20"/>
                <w:szCs w:val="20"/>
              </w:rPr>
              <w:t>que se pueda relacionar individualmente con el funcionario que ejerce tales recursos o reciba los viáticos;</w:t>
            </w: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672056" w:rsidRPr="00864C64" w:rsidRDefault="002944CD" w:rsidP="00907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Finanzas, (Subdirección de Contabilidad)</w:t>
            </w:r>
          </w:p>
        </w:tc>
      </w:tr>
      <w:tr w:rsidR="00734655" w:rsidRPr="00864C64" w:rsidTr="00DD6FC4">
        <w:trPr>
          <w:trHeight w:val="9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907A56" w:rsidRDefault="00907A56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El perfil de puestos de los servidores públicos, desde el nivel de jefe de departamento o equivalente, hasta el titular o titulares del sujeto obligado;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75358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DD6FC4">
        <w:trPr>
          <w:trHeight w:val="715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907A56" w:rsidRDefault="00907A56" w:rsidP="00907A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La información en Versión Pública de las Declaraciones Patrimoniales, de Conflicto de Intereses y Fiscal de los Servidores Públicos que así lo determinen, en los sistemas habilitados para ello, de acuerdo a la fracción XII del artículo 70 de la Ley General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2944CD" w:rsidRDefault="002944CD" w:rsidP="002944CD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F7338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No Aplica</w:t>
            </w:r>
          </w:p>
          <w:p w:rsidR="00734655" w:rsidRDefault="002944CD" w:rsidP="002944CD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Atribución de 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de la Contraloría General del Estado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como lo determina la Ley Orgánica del Poder Ejecutivo del Estado (Art. 26, letra C.- fracción IX)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DD6FC4">
        <w:trPr>
          <w:trHeight w:val="12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907A56" w:rsidRPr="00907A56" w:rsidRDefault="00907A56" w:rsidP="0090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El nombre del titular de la Unidad de Transparencia, domicilio oficial, correo electrónico oficial</w:t>
            </w:r>
          </w:p>
          <w:p w:rsidR="00734655" w:rsidRPr="00864C64" w:rsidRDefault="00907A56" w:rsidP="00907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y el número telefónico de la misma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83333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</w:p>
        </w:tc>
      </w:tr>
      <w:tr w:rsidR="00734655" w:rsidRPr="00864C64" w:rsidTr="00DD6FC4">
        <w:trPr>
          <w:trHeight w:val="12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907A56" w:rsidRPr="00907A56" w:rsidRDefault="00907A56" w:rsidP="0090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Dentro de la información financiera que deberá hacer pública cada sujeto obligado, se deberá especificar el presupuesto de ingresos y de egresos autorizado por la instancia correspondiente del</w:t>
            </w:r>
          </w:p>
          <w:p w:rsidR="00734655" w:rsidRPr="00864C64" w:rsidRDefault="00907A56" w:rsidP="00907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7A56">
              <w:rPr>
                <w:rFonts w:cstheme="minorHAnsi"/>
                <w:sz w:val="20"/>
                <w:szCs w:val="20"/>
              </w:rPr>
              <w:t>ejercicio fiscal vigente y un apartado con el histórico con un mínimo de diez años de antigüedad; así como los avances en la ejecución del vigente. Para el cumplimiento de los avances de ejecución deberá publicarse en los sitios de internet correspondientes, los estados financieros trimestrales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907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944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 (Subdirección de Contabilidad)</w:t>
            </w:r>
          </w:p>
        </w:tc>
      </w:tr>
      <w:tr w:rsidR="00734655" w:rsidRPr="00864C64" w:rsidTr="00DD6FC4">
        <w:trPr>
          <w:trHeight w:val="12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AB3C0B" w:rsidRDefault="00AB3C0B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3C0B">
              <w:rPr>
                <w:rFonts w:cstheme="minorHAnsi"/>
                <w:sz w:val="20"/>
                <w:szCs w:val="20"/>
              </w:rPr>
              <w:t xml:space="preserve">Los informes de resultados de las auditorías al ejercicio presupuestal de cada sujeto obligado que se realicen según corresponda, por la Contraloría General del Estado, las Contralorías Internas, el Órgano </w:t>
            </w:r>
            <w:r w:rsidRPr="00AB3C0B">
              <w:rPr>
                <w:rFonts w:cstheme="minorHAnsi"/>
                <w:sz w:val="20"/>
                <w:szCs w:val="20"/>
              </w:rPr>
              <w:lastRenderedPageBreak/>
              <w:t>Interno de Control y Evaluación Gubernamental de cada Municipio, el Órgano Fiscalizador del Congreso y los auditores externos, incluyendo, en su caso, las aclaraciones que correspondan</w:t>
            </w:r>
            <w:r w:rsidR="00734655" w:rsidRPr="00AB3C0B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Aplica </w:t>
            </w:r>
          </w:p>
          <w:p w:rsidR="00B47E8D" w:rsidRDefault="00B47E8D" w:rsidP="00B47E8D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DD6FC4">
        <w:trPr>
          <w:trHeight w:val="9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AB3C0B" w:rsidRDefault="00AB3C0B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3C0B">
              <w:rPr>
                <w:rFonts w:cstheme="minorHAnsi"/>
                <w:sz w:val="20"/>
                <w:szCs w:val="20"/>
              </w:rPr>
              <w:t>Las cuentas públicas que deba presentar cada sujeto obligado, según corresponda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 (Subdirección de Contabilidad)</w:t>
            </w:r>
          </w:p>
        </w:tc>
      </w:tr>
      <w:tr w:rsidR="00734655" w:rsidRPr="00864C64" w:rsidTr="00DD6FC4">
        <w:trPr>
          <w:trHeight w:val="88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AB3C0B" w:rsidRDefault="00AB3C0B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3C0B">
              <w:rPr>
                <w:rFonts w:cstheme="minorHAnsi"/>
                <w:sz w:val="20"/>
                <w:szCs w:val="20"/>
              </w:rPr>
              <w:t>La Deuda Pública y las instituciones a las que se adeuda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2944CD" w:rsidRDefault="002944CD" w:rsidP="002944CD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90EBA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No Aplica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-</w:t>
            </w:r>
          </w:p>
          <w:p w:rsidR="00734655" w:rsidRDefault="002944CD" w:rsidP="002944CD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Atribución establecida a la Secretaría de </w:t>
            </w:r>
            <w:r w:rsidRPr="00590E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Hacienda del Estado, </w:t>
            </w:r>
            <w:r w:rsidRPr="00D222D6">
              <w:rPr>
                <w:sz w:val="20"/>
                <w:szCs w:val="20"/>
              </w:rPr>
              <w:t>Artículo 22 Bis de la Ley del Presupuesto de Egresos y Gasto Público Estatal</w:t>
            </w:r>
            <w:r>
              <w:t>.</w:t>
            </w:r>
            <w:r w:rsidR="00B019CC"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A83814" w:rsidP="00E51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</w:tc>
      </w:tr>
      <w:tr w:rsidR="00734655" w:rsidRPr="00864C64" w:rsidTr="00DD6FC4">
        <w:trPr>
          <w:trHeight w:val="12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AB3C0B" w:rsidRDefault="00AB3C0B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3C0B">
              <w:rPr>
                <w:rFonts w:cstheme="minorHAnsi"/>
                <w:sz w:val="20"/>
                <w:szCs w:val="20"/>
              </w:rPr>
              <w:t>La relación de fideicomisos públicos o mixtos, mandatos o contratos análogos a los que aporten recursos públicos, el monto de los mismos, sus documentos básicos de creación, así como sus informes financieros</w:t>
            </w:r>
            <w:r w:rsidR="00734655" w:rsidRPr="00AB3C0B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B019C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AB3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 Planeación y Finanzas</w:t>
            </w:r>
          </w:p>
        </w:tc>
      </w:tr>
      <w:tr w:rsidR="00734655" w:rsidRPr="00864C64" w:rsidTr="00DD6FC4">
        <w:trPr>
          <w:trHeight w:val="9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AB3C0B" w:rsidRDefault="00AB3C0B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3C0B">
              <w:rPr>
                <w:rFonts w:cstheme="minorHAnsi"/>
                <w:sz w:val="20"/>
                <w:szCs w:val="20"/>
              </w:rPr>
              <w:t>El padrón vehicular, indicando las funciones a las que se encuentre asignado cada vehículo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066919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</w:p>
        </w:tc>
      </w:tr>
      <w:tr w:rsidR="00734655" w:rsidRPr="00864C64" w:rsidTr="00DD6FC4">
        <w:trPr>
          <w:trHeight w:val="6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AB3C0B" w:rsidRDefault="00AB3C0B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3C0B">
              <w:rPr>
                <w:rFonts w:cstheme="minorHAnsi"/>
                <w:sz w:val="20"/>
                <w:szCs w:val="20"/>
              </w:rPr>
              <w:t xml:space="preserve">Los planes, programas o proyectos con los indicadores de gestión, los indicadores de resultados y sus metas, de tal forma que </w:t>
            </w:r>
            <w:proofErr w:type="spellStart"/>
            <w:r w:rsidRPr="00AB3C0B">
              <w:rPr>
                <w:rFonts w:cstheme="minorHAnsi"/>
                <w:sz w:val="20"/>
                <w:szCs w:val="20"/>
              </w:rPr>
              <w:t>permitala</w:t>
            </w:r>
            <w:proofErr w:type="spellEnd"/>
            <w:r w:rsidRPr="00AB3C0B">
              <w:rPr>
                <w:rFonts w:cstheme="minorHAnsi"/>
                <w:sz w:val="20"/>
                <w:szCs w:val="20"/>
              </w:rPr>
              <w:t xml:space="preserve"> evaluación del desempeño por cada área;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DF6ACE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  <w:p w:rsidR="00DF6ACE" w:rsidRDefault="00DF6ACE" w:rsidP="00DF6ACE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A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DD6FC4">
        <w:trPr>
          <w:trHeight w:val="15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AB3C0B" w:rsidRDefault="00AB3C0B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3C0B">
              <w:rPr>
                <w:rFonts w:cstheme="minorHAnsi"/>
                <w:sz w:val="20"/>
                <w:szCs w:val="20"/>
              </w:rPr>
              <w:t>Las actas relativas a los procesos de entrega-recepción realizados conforme a la normatividad aplicable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363CB2" w:rsidRPr="002944CD" w:rsidRDefault="002944CD" w:rsidP="00BD4733">
            <w:pPr>
              <w:jc w:val="center"/>
              <w:rPr>
                <w:sz w:val="20"/>
                <w:szCs w:val="20"/>
              </w:rPr>
            </w:pPr>
            <w:r w:rsidRPr="002944CD"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2944C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DD6FC4">
        <w:trPr>
          <w:trHeight w:val="6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AB3C0B" w:rsidRDefault="00AB3C0B" w:rsidP="00AB3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3C0B">
              <w:rPr>
                <w:rFonts w:cstheme="minorHAnsi"/>
                <w:sz w:val="20"/>
                <w:szCs w:val="20"/>
              </w:rPr>
              <w:t>La georreferenciación e imagen de todas las obras públicas, señalando: sector al que pertenece, ubicación y monto asignado y ejercido</w:t>
            </w:r>
            <w:r w:rsidR="00734655" w:rsidRPr="00AB3C0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DD6FC4" w:rsidRDefault="00DD6FC4" w:rsidP="00DD6FC4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311D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No Aplica. -</w:t>
            </w:r>
          </w:p>
          <w:p w:rsidR="00E27849" w:rsidRDefault="00DD6FC4" w:rsidP="00DD6FC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Atribución de la Secretaría de Infraestructura  Urbana y  Desarrollo Urbano, establecidas en la Ley Orgánica del Poder Ejecutivo del estado de Sonora, Art. 29, Apartados E y F.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734655" w:rsidP="006A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DD6FC4">
        <w:trPr>
          <w:trHeight w:val="12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143BBD" w:rsidRDefault="00143BBD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Dentro de los gastos relativos a comunicación social y publicidad oficial, los sujetos obligados deberán especificar el presupuesto aprobado por partida y el presupuesto ejercido, la fecha de inicio y fecha de término del concepto o campaña, la dependencia, entidad o área solicitante, el tipo de medio de comunicación utilizado, el costo por inserción, y el padrón de proveedores específico en este concepto de gasto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Pr="00D948A2" w:rsidRDefault="00DD6FC4" w:rsidP="00BE5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D6FC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Comunicación Social</w:t>
            </w:r>
          </w:p>
        </w:tc>
      </w:tr>
      <w:tr w:rsidR="00734655" w:rsidRPr="00864C64" w:rsidTr="00DD6FC4">
        <w:trPr>
          <w:trHeight w:val="103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DD6FC4" w:rsidRPr="00DD6FC4" w:rsidRDefault="00DD6FC4" w:rsidP="00DD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D6FC4">
              <w:rPr>
                <w:rFonts w:cstheme="minorHAnsi"/>
                <w:sz w:val="20"/>
                <w:szCs w:val="20"/>
              </w:rPr>
              <w:t>Los índices de expedientes clasificados como reservados elaborados, tiempo de reserva, motivación y fundamento legal, organizados por rubros temáticos y presentada de forma trimestral; y,</w:t>
            </w: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BA0FD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D6FC4" w:rsidP="0014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DD6FC4">
        <w:trPr>
          <w:trHeight w:val="52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143BBD" w:rsidRPr="00143BBD" w:rsidRDefault="00143BBD" w:rsidP="0014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Las solicitudes de acceso a la información pública, las denuncias y recursos presentados en</w:t>
            </w:r>
          </w:p>
          <w:p w:rsidR="00143BBD" w:rsidRPr="00143BBD" w:rsidRDefault="00143BBD" w:rsidP="0014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contra de su actuación en esta materia, y las respuestas que se les dé, incluyendo, en su caso, la</w:t>
            </w:r>
          </w:p>
          <w:p w:rsidR="00143BBD" w:rsidRPr="00143BBD" w:rsidRDefault="00143BBD" w:rsidP="0014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lastRenderedPageBreak/>
              <w:t>información entregada, a través del sistema de solicitudes de acceso a la información;</w:t>
            </w: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E662D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D6FC4" w:rsidP="0014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  <w:r w:rsidR="00E662D6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DD6FC4">
        <w:trPr>
          <w:trHeight w:val="15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143BBD" w:rsidRDefault="00143BBD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La descripción de las reglas de procedimiento para obtener información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E662D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D6FC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</w:p>
        </w:tc>
      </w:tr>
      <w:tr w:rsidR="00734655" w:rsidRPr="00864C64" w:rsidTr="00DD6FC4">
        <w:trPr>
          <w:trHeight w:val="6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143BBD" w:rsidRDefault="00143BBD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Los convenios institucionales celebrados por el sujeto obligado, especificando el tipo de convenio, con quién se celebra, objetivo, fecha de celebración y vigencia, así como copia digitalizada del convenio para su descarga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143BBD" w:rsidRDefault="00143BBD" w:rsidP="00143BBD"/>
          <w:p w:rsidR="00734655" w:rsidRPr="00DD6FC4" w:rsidRDefault="00DD6FC4" w:rsidP="00DD6F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6FC4">
              <w:rPr>
                <w:rFonts w:cstheme="minorHAnsi"/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D6FC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DD6FC4">
        <w:trPr>
          <w:trHeight w:val="9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143BBD" w:rsidRPr="00143BBD" w:rsidRDefault="00143BBD" w:rsidP="0014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El listado, estado procesal y sentido de la resolución de los juicios de amparo, de las controversias constitucionales y las acciones de inconstitucionalidad presentadas ante el Poder Judicial de la Federación en los que sean parte;</w:t>
            </w: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Pr="0008126F" w:rsidRDefault="00734655" w:rsidP="0008126F">
            <w:pPr>
              <w:jc w:val="center"/>
              <w:rPr>
                <w:highlight w:val="yellow"/>
              </w:rPr>
            </w:pPr>
            <w:r w:rsidRPr="00AC7CC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08126F" w:rsidRDefault="00DD6FC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DD6F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Asuntos Jurí</w:t>
            </w:r>
            <w:r w:rsidRPr="00DD6F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dicos</w:t>
            </w:r>
          </w:p>
        </w:tc>
      </w:tr>
      <w:tr w:rsidR="00734655" w:rsidRPr="00864C64" w:rsidTr="00DD6FC4">
        <w:trPr>
          <w:trHeight w:val="9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143BBD" w:rsidRDefault="00143BBD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La calendarización de las reuniones públicas de los diversos consejos, comités, órganos colegiados, gabinetes, ayuntamientos, sesiones plenarias, comisiones y sesiones de trabajo a que se convoquen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08126F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D6FC4" w:rsidP="0014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 y Unidad de Transparencia y Coordinación General de Archivo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DD6FC4">
        <w:trPr>
          <w:trHeight w:val="9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143BBD" w:rsidRDefault="00143BBD" w:rsidP="0014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Las opiniones, estudios, análisis, recomendaciones y/o puntos de vista documentados que formen parte de los procesos deliberativos de los servidores públicos en materia de adquisiciones y obra pública, hasta que haya sido adoptada la decisión definitiva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704C1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DD6FC4" w:rsidP="0014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  <w:r w:rsidR="00704C11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734655" w:rsidRPr="00864C64" w:rsidTr="00DD6FC4">
        <w:trPr>
          <w:trHeight w:val="33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143BBD" w:rsidRPr="00143BBD" w:rsidRDefault="00143BBD" w:rsidP="0014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La información sobre los resultados sobre procedimientos de adjudicación directa, invitación</w:t>
            </w:r>
          </w:p>
          <w:p w:rsidR="00143BBD" w:rsidRDefault="00143BBD" w:rsidP="0014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restringida y licitación de cualquier naturaleza, incluyendo la Versión Pública del documento respectivo y de los contratos celebrados, que deberá contener, por lo menos, lo siguiente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3BBD" w:rsidRDefault="00143BBD" w:rsidP="0014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Default="00734655" w:rsidP="00704C1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915DEC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</w:p>
        </w:tc>
      </w:tr>
      <w:tr w:rsidR="00734655" w:rsidRPr="00864C64" w:rsidTr="00DD6FC4">
        <w:trPr>
          <w:trHeight w:val="27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129" w:type="pct"/>
            <w:shd w:val="clear" w:color="000000" w:fill="FFFFFF"/>
            <w:vAlign w:val="center"/>
            <w:hideMark/>
          </w:tcPr>
          <w:p w:rsidR="00734655" w:rsidRPr="00143BBD" w:rsidRDefault="00143BBD" w:rsidP="007346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3BBD">
              <w:rPr>
                <w:rFonts w:cstheme="minorHAnsi"/>
                <w:sz w:val="20"/>
                <w:szCs w:val="20"/>
              </w:rPr>
              <w:t>Los catálogos documentales de sus archivos administrativos.</w:t>
            </w:r>
          </w:p>
        </w:tc>
        <w:tc>
          <w:tcPr>
            <w:tcW w:w="1098" w:type="pct"/>
            <w:shd w:val="clear" w:color="000000" w:fill="FFFFFF"/>
            <w:vAlign w:val="center"/>
            <w:hideMark/>
          </w:tcPr>
          <w:p w:rsidR="00734655" w:rsidRPr="00DD6FC4" w:rsidRDefault="00401E0C" w:rsidP="008C1A96">
            <w:pPr>
              <w:jc w:val="center"/>
              <w:rPr>
                <w:sz w:val="20"/>
                <w:szCs w:val="20"/>
              </w:rPr>
            </w:pPr>
            <w:r w:rsidRPr="00DD6FC4">
              <w:rPr>
                <w:sz w:val="20"/>
                <w:szCs w:val="20"/>
              </w:rPr>
              <w:t>Aplica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:rsidR="00734655" w:rsidRPr="00864C64" w:rsidRDefault="00401E0C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</w:p>
        </w:tc>
      </w:tr>
      <w:tr w:rsidR="00734655" w:rsidRPr="00864C64" w:rsidTr="00E24CB9">
        <w:trPr>
          <w:trHeight w:val="18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02654D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02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2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1001E0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5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1001E0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6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1001E0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8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1001E0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9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Pr="00024FF2" w:rsidRDefault="00734655" w:rsidP="00024F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5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C8734C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6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15217D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8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15217D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24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F03C83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3E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5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F03C83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2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3E5A70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2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F03C83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DF2307" w:rsidRDefault="00734655" w:rsidP="00DF230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5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B847F7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E51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18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B847F7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2415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8E7280">
            <w:pPr>
              <w:jc w:val="center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32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E24CB9">
        <w:trPr>
          <w:trHeight w:val="543"/>
        </w:trPr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shd w:val="clear" w:color="000000" w:fill="FFFFFF"/>
            <w:vAlign w:val="center"/>
          </w:tcPr>
          <w:p w:rsidR="00734655" w:rsidRDefault="00734655" w:rsidP="002575D1">
            <w:pPr>
              <w:jc w:val="both"/>
            </w:pPr>
          </w:p>
        </w:tc>
        <w:tc>
          <w:tcPr>
            <w:tcW w:w="990" w:type="pct"/>
            <w:shd w:val="clear" w:color="000000" w:fill="FFFFFF"/>
            <w:vAlign w:val="center"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864C64" w:rsidRDefault="00864C64" w:rsidP="00E24CB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60D6"/>
    <w:rsid w:val="00010659"/>
    <w:rsid w:val="0001375E"/>
    <w:rsid w:val="00016199"/>
    <w:rsid w:val="00017061"/>
    <w:rsid w:val="0002283E"/>
    <w:rsid w:val="00024FF2"/>
    <w:rsid w:val="0002654D"/>
    <w:rsid w:val="00041749"/>
    <w:rsid w:val="00045F54"/>
    <w:rsid w:val="00056175"/>
    <w:rsid w:val="00066919"/>
    <w:rsid w:val="0008126F"/>
    <w:rsid w:val="000A1180"/>
    <w:rsid w:val="000B328D"/>
    <w:rsid w:val="000F0313"/>
    <w:rsid w:val="001001E0"/>
    <w:rsid w:val="001112FB"/>
    <w:rsid w:val="00143BBD"/>
    <w:rsid w:val="0015217D"/>
    <w:rsid w:val="00164E99"/>
    <w:rsid w:val="001C7363"/>
    <w:rsid w:val="001D4947"/>
    <w:rsid w:val="001D4C05"/>
    <w:rsid w:val="001F50F2"/>
    <w:rsid w:val="00222986"/>
    <w:rsid w:val="002575D1"/>
    <w:rsid w:val="00262C53"/>
    <w:rsid w:val="00264138"/>
    <w:rsid w:val="00272C60"/>
    <w:rsid w:val="0028212D"/>
    <w:rsid w:val="0029399E"/>
    <w:rsid w:val="002944CD"/>
    <w:rsid w:val="002962D2"/>
    <w:rsid w:val="002D2629"/>
    <w:rsid w:val="002E2428"/>
    <w:rsid w:val="002E6A9A"/>
    <w:rsid w:val="00305729"/>
    <w:rsid w:val="00313368"/>
    <w:rsid w:val="003153C7"/>
    <w:rsid w:val="00315732"/>
    <w:rsid w:val="003171E0"/>
    <w:rsid w:val="003246EC"/>
    <w:rsid w:val="003311D9"/>
    <w:rsid w:val="003315C6"/>
    <w:rsid w:val="00363CB2"/>
    <w:rsid w:val="003E5A70"/>
    <w:rsid w:val="003F4C16"/>
    <w:rsid w:val="00401E0C"/>
    <w:rsid w:val="00402FB8"/>
    <w:rsid w:val="004078CA"/>
    <w:rsid w:val="00415002"/>
    <w:rsid w:val="0041743D"/>
    <w:rsid w:val="00423135"/>
    <w:rsid w:val="00451E13"/>
    <w:rsid w:val="004659C3"/>
    <w:rsid w:val="004679BE"/>
    <w:rsid w:val="00474ECB"/>
    <w:rsid w:val="00483AD4"/>
    <w:rsid w:val="004B3284"/>
    <w:rsid w:val="004B6085"/>
    <w:rsid w:val="00534D62"/>
    <w:rsid w:val="00546BD3"/>
    <w:rsid w:val="00554264"/>
    <w:rsid w:val="00590EBA"/>
    <w:rsid w:val="00595734"/>
    <w:rsid w:val="005E3AFE"/>
    <w:rsid w:val="005F0FD2"/>
    <w:rsid w:val="00603814"/>
    <w:rsid w:val="00614EB8"/>
    <w:rsid w:val="00626E5C"/>
    <w:rsid w:val="006335FC"/>
    <w:rsid w:val="00643FF6"/>
    <w:rsid w:val="00650367"/>
    <w:rsid w:val="00667E9A"/>
    <w:rsid w:val="00672056"/>
    <w:rsid w:val="00686F88"/>
    <w:rsid w:val="00694198"/>
    <w:rsid w:val="006A1D77"/>
    <w:rsid w:val="006B0090"/>
    <w:rsid w:val="006C7A22"/>
    <w:rsid w:val="006C7D33"/>
    <w:rsid w:val="006D179B"/>
    <w:rsid w:val="006D28AA"/>
    <w:rsid w:val="006E43B3"/>
    <w:rsid w:val="006E4D1D"/>
    <w:rsid w:val="006F79A2"/>
    <w:rsid w:val="007031F8"/>
    <w:rsid w:val="00704C11"/>
    <w:rsid w:val="00704F11"/>
    <w:rsid w:val="0071003C"/>
    <w:rsid w:val="00730B2B"/>
    <w:rsid w:val="00734655"/>
    <w:rsid w:val="007353CC"/>
    <w:rsid w:val="0075358C"/>
    <w:rsid w:val="0075714B"/>
    <w:rsid w:val="007737B1"/>
    <w:rsid w:val="007805E9"/>
    <w:rsid w:val="007F33D8"/>
    <w:rsid w:val="008070E6"/>
    <w:rsid w:val="00833336"/>
    <w:rsid w:val="00864C64"/>
    <w:rsid w:val="00864E59"/>
    <w:rsid w:val="00880D48"/>
    <w:rsid w:val="008C1A96"/>
    <w:rsid w:val="008C21E2"/>
    <w:rsid w:val="008D3747"/>
    <w:rsid w:val="008E6955"/>
    <w:rsid w:val="008E7280"/>
    <w:rsid w:val="008F76D0"/>
    <w:rsid w:val="009016E5"/>
    <w:rsid w:val="00907A56"/>
    <w:rsid w:val="0091347C"/>
    <w:rsid w:val="00913825"/>
    <w:rsid w:val="00915DEC"/>
    <w:rsid w:val="00922E7F"/>
    <w:rsid w:val="00926FAD"/>
    <w:rsid w:val="00951EA4"/>
    <w:rsid w:val="00970527"/>
    <w:rsid w:val="00970893"/>
    <w:rsid w:val="00982F88"/>
    <w:rsid w:val="009901F6"/>
    <w:rsid w:val="009A025C"/>
    <w:rsid w:val="009A3AF4"/>
    <w:rsid w:val="009C25DB"/>
    <w:rsid w:val="009E1D29"/>
    <w:rsid w:val="009E405E"/>
    <w:rsid w:val="009F1BBC"/>
    <w:rsid w:val="00A02588"/>
    <w:rsid w:val="00A52B2A"/>
    <w:rsid w:val="00A63C3E"/>
    <w:rsid w:val="00A83814"/>
    <w:rsid w:val="00A83D2C"/>
    <w:rsid w:val="00A94C08"/>
    <w:rsid w:val="00AB1A88"/>
    <w:rsid w:val="00AB3C0B"/>
    <w:rsid w:val="00AC7ABA"/>
    <w:rsid w:val="00AC7CCD"/>
    <w:rsid w:val="00AD1B13"/>
    <w:rsid w:val="00AD413E"/>
    <w:rsid w:val="00AD574B"/>
    <w:rsid w:val="00B019CC"/>
    <w:rsid w:val="00B04730"/>
    <w:rsid w:val="00B2460F"/>
    <w:rsid w:val="00B366FD"/>
    <w:rsid w:val="00B43A8D"/>
    <w:rsid w:val="00B47E8D"/>
    <w:rsid w:val="00B63C43"/>
    <w:rsid w:val="00B744CC"/>
    <w:rsid w:val="00B847F7"/>
    <w:rsid w:val="00B979AA"/>
    <w:rsid w:val="00BA0FD3"/>
    <w:rsid w:val="00BA26B3"/>
    <w:rsid w:val="00BA3CD1"/>
    <w:rsid w:val="00BC0E34"/>
    <w:rsid w:val="00BC2CC9"/>
    <w:rsid w:val="00BD4733"/>
    <w:rsid w:val="00BE0958"/>
    <w:rsid w:val="00BE5077"/>
    <w:rsid w:val="00BF7338"/>
    <w:rsid w:val="00C07982"/>
    <w:rsid w:val="00C6302E"/>
    <w:rsid w:val="00C66099"/>
    <w:rsid w:val="00C72114"/>
    <w:rsid w:val="00C8734C"/>
    <w:rsid w:val="00D222D6"/>
    <w:rsid w:val="00D4271F"/>
    <w:rsid w:val="00D73E44"/>
    <w:rsid w:val="00D948A2"/>
    <w:rsid w:val="00DA6791"/>
    <w:rsid w:val="00DB472D"/>
    <w:rsid w:val="00DC6732"/>
    <w:rsid w:val="00DD6FC4"/>
    <w:rsid w:val="00DF2307"/>
    <w:rsid w:val="00DF6ACE"/>
    <w:rsid w:val="00E04926"/>
    <w:rsid w:val="00E22E14"/>
    <w:rsid w:val="00E24CB9"/>
    <w:rsid w:val="00E27849"/>
    <w:rsid w:val="00E516D5"/>
    <w:rsid w:val="00E51D0D"/>
    <w:rsid w:val="00E662D6"/>
    <w:rsid w:val="00E727E5"/>
    <w:rsid w:val="00E81A04"/>
    <w:rsid w:val="00E936C7"/>
    <w:rsid w:val="00EB1562"/>
    <w:rsid w:val="00EB76C4"/>
    <w:rsid w:val="00EE16DF"/>
    <w:rsid w:val="00EE33B7"/>
    <w:rsid w:val="00EF150D"/>
    <w:rsid w:val="00EF44D8"/>
    <w:rsid w:val="00F03C83"/>
    <w:rsid w:val="00F0654A"/>
    <w:rsid w:val="00F307FE"/>
    <w:rsid w:val="00F50015"/>
    <w:rsid w:val="00F509A5"/>
    <w:rsid w:val="00F55EA1"/>
    <w:rsid w:val="00F81885"/>
    <w:rsid w:val="00F97083"/>
    <w:rsid w:val="00FD4A8A"/>
    <w:rsid w:val="00FE4A42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2A63"/>
  <w15:docId w15:val="{BEEF4CDE-E64C-45CB-B5D4-68B14CA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0758-E76E-4B3E-BDF0-6493BF5B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Especialistas</dc:creator>
  <cp:lastModifiedBy>Cristina de los Angeles Morales Ortiz</cp:lastModifiedBy>
  <cp:revision>3</cp:revision>
  <cp:lastPrinted>2016-04-27T00:44:00Z</cp:lastPrinted>
  <dcterms:created xsi:type="dcterms:W3CDTF">2018-05-24T21:45:00Z</dcterms:created>
  <dcterms:modified xsi:type="dcterms:W3CDTF">2018-05-25T17:57:00Z</dcterms:modified>
</cp:coreProperties>
</file>