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A7" w:rsidRPr="002D4FA7" w:rsidRDefault="002D4FA7" w:rsidP="002D4FA7">
      <w:pPr>
        <w:jc w:val="center"/>
        <w:rPr>
          <w:b/>
          <w:sz w:val="24"/>
        </w:rPr>
      </w:pPr>
      <w:bookmarkStart w:id="0" w:name="_GoBack"/>
      <w:bookmarkEnd w:id="0"/>
      <w:r w:rsidRPr="002D4FA7">
        <w:rPr>
          <w:b/>
          <w:sz w:val="24"/>
        </w:rPr>
        <w:t>Artículo 81 Resumen de Actualización y Conservación</w:t>
      </w:r>
    </w:p>
    <w:p w:rsidR="002D4FA7" w:rsidRPr="002D4FA7" w:rsidRDefault="002D4FA7" w:rsidP="002D4FA7">
      <w:pPr>
        <w:jc w:val="center"/>
        <w:rPr>
          <w:sz w:val="24"/>
        </w:rPr>
      </w:pPr>
      <w:r w:rsidRPr="002D4FA7">
        <w:rPr>
          <w:sz w:val="24"/>
        </w:rPr>
        <w:t>Según los Lineamientos Generales Para El Acceso A La Información Pública En El Estado De Sonora</w:t>
      </w:r>
    </w:p>
    <w:p w:rsidR="002D4FA7" w:rsidRDefault="002D4FA7"/>
    <w:tbl>
      <w:tblPr>
        <w:tblStyle w:val="Tablaconcuadrcula"/>
        <w:tblW w:w="0" w:type="auto"/>
        <w:tblLook w:val="04A0" w:firstRow="1" w:lastRow="0" w:firstColumn="1" w:lastColumn="0" w:noHBand="0" w:noVBand="1"/>
      </w:tblPr>
      <w:tblGrid>
        <w:gridCol w:w="1129"/>
        <w:gridCol w:w="3828"/>
        <w:gridCol w:w="1664"/>
        <w:gridCol w:w="2207"/>
      </w:tblGrid>
      <w:tr w:rsidR="003479D7" w:rsidTr="003479D7">
        <w:tc>
          <w:tcPr>
            <w:tcW w:w="1129" w:type="dxa"/>
          </w:tcPr>
          <w:p w:rsidR="003479D7" w:rsidRPr="003479D7" w:rsidRDefault="003479D7" w:rsidP="00484789">
            <w:r w:rsidRPr="003479D7">
              <w:t>Fracción</w:t>
            </w:r>
          </w:p>
        </w:tc>
        <w:tc>
          <w:tcPr>
            <w:tcW w:w="3828" w:type="dxa"/>
          </w:tcPr>
          <w:p w:rsidR="003479D7" w:rsidRPr="003479D7" w:rsidRDefault="003479D7" w:rsidP="00484789">
            <w:r w:rsidRPr="003479D7">
              <w:t xml:space="preserve">Descripción </w:t>
            </w:r>
          </w:p>
        </w:tc>
        <w:tc>
          <w:tcPr>
            <w:tcW w:w="1664" w:type="dxa"/>
          </w:tcPr>
          <w:p w:rsidR="003479D7" w:rsidRPr="003479D7" w:rsidRDefault="003479D7" w:rsidP="00484789">
            <w:r w:rsidRPr="003479D7">
              <w:t xml:space="preserve">Actualización </w:t>
            </w:r>
          </w:p>
        </w:tc>
        <w:tc>
          <w:tcPr>
            <w:tcW w:w="2207" w:type="dxa"/>
          </w:tcPr>
          <w:p w:rsidR="003479D7" w:rsidRDefault="003479D7" w:rsidP="00484789">
            <w:r w:rsidRPr="003479D7">
              <w:t>Conservación</w:t>
            </w:r>
          </w:p>
        </w:tc>
      </w:tr>
      <w:tr w:rsidR="003479D7" w:rsidTr="003479D7">
        <w:tc>
          <w:tcPr>
            <w:tcW w:w="1129" w:type="dxa"/>
          </w:tcPr>
          <w:p w:rsidR="003479D7" w:rsidRPr="003479D7" w:rsidRDefault="003479D7" w:rsidP="00484789">
            <w:r>
              <w:t>I</w:t>
            </w:r>
          </w:p>
        </w:tc>
        <w:tc>
          <w:tcPr>
            <w:tcW w:w="3828" w:type="dxa"/>
          </w:tcPr>
          <w:p w:rsidR="003479D7" w:rsidRPr="003479D7" w:rsidRDefault="003479D7" w:rsidP="00484789">
            <w:r w:rsidRPr="003479D7">
              <w:t>Dentro del formato que especifique su estructura orgánica, se deberá aclarar el nivel salarial o tabular de cada servidor público, prestador de servicios profesionales o miembro de los sujetos obligados, así como los puestos vacantes de dicha estructura y los requisitos para poder acceder a los mismos</w:t>
            </w:r>
          </w:p>
        </w:tc>
        <w:tc>
          <w:tcPr>
            <w:tcW w:w="1664" w:type="dxa"/>
          </w:tcPr>
          <w:p w:rsidR="003479D7" w:rsidRPr="003479D7" w:rsidRDefault="00642FAF" w:rsidP="00484789">
            <w:r>
              <w:t>Trimestral, o 15 días hábiles posteriores a una modificación</w:t>
            </w:r>
          </w:p>
        </w:tc>
        <w:tc>
          <w:tcPr>
            <w:tcW w:w="2207" w:type="dxa"/>
          </w:tcPr>
          <w:p w:rsidR="003479D7" w:rsidRPr="003479D7" w:rsidRDefault="00642FAF" w:rsidP="00484789">
            <w:r>
              <w:t>Información Vigente</w:t>
            </w:r>
          </w:p>
        </w:tc>
      </w:tr>
      <w:tr w:rsidR="003479D7" w:rsidTr="003479D7">
        <w:tc>
          <w:tcPr>
            <w:tcW w:w="1129" w:type="dxa"/>
          </w:tcPr>
          <w:p w:rsidR="003479D7" w:rsidRDefault="003479D7" w:rsidP="00484789">
            <w:r>
              <w:t>II</w:t>
            </w:r>
          </w:p>
        </w:tc>
        <w:tc>
          <w:tcPr>
            <w:tcW w:w="3828" w:type="dxa"/>
          </w:tcPr>
          <w:p w:rsidR="003479D7" w:rsidRPr="003479D7" w:rsidRDefault="003479D7" w:rsidP="003479D7">
            <w: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fotografía, cargo o nombramiento asignado, versión pública de su currículo, nivel del puesto en la estructura orgánica, fecha de alta en el cargo, número telefónico, domicilio para recibir correspondencia y dirección de correo electrónico oficiales.</w:t>
            </w:r>
          </w:p>
        </w:tc>
        <w:tc>
          <w:tcPr>
            <w:tcW w:w="1664" w:type="dxa"/>
          </w:tcPr>
          <w:p w:rsidR="003479D7" w:rsidRPr="003479D7" w:rsidRDefault="00642FAF" w:rsidP="00484789">
            <w:r>
              <w:t>Trimestral, o 15 días hábiles posteriores a una modificación</w:t>
            </w:r>
          </w:p>
        </w:tc>
        <w:tc>
          <w:tcPr>
            <w:tcW w:w="2207" w:type="dxa"/>
          </w:tcPr>
          <w:p w:rsidR="003479D7" w:rsidRPr="003479D7" w:rsidRDefault="00642FAF" w:rsidP="00484789">
            <w:r>
              <w:t>Información Vigente</w:t>
            </w:r>
          </w:p>
        </w:tc>
      </w:tr>
      <w:tr w:rsidR="003479D7" w:rsidTr="003479D7">
        <w:tc>
          <w:tcPr>
            <w:tcW w:w="1129" w:type="dxa"/>
          </w:tcPr>
          <w:p w:rsidR="003479D7" w:rsidRDefault="003479D7" w:rsidP="00484789">
            <w:r>
              <w:t>III</w:t>
            </w:r>
          </w:p>
        </w:tc>
        <w:tc>
          <w:tcPr>
            <w:tcW w:w="3828" w:type="dxa"/>
          </w:tcPr>
          <w:p w:rsidR="003479D7" w:rsidRDefault="003479D7" w:rsidP="003479D7">
            <w:r w:rsidRPr="003479D7">
              <w:t>La remuneración bruta y neta de todos los Servidores Públicos de base o de confianza, prestadores de servicios profesionales o miembros de los sujetos obligados; incluyendo todas las percepciones, sueldos, prestaciones, gratificaciones, primas, comisiones, dietas, bonos, estímulos, ingresos y sistemas de compensación, señalando la periodicidad de dicha remuneración y debiendo incluir adicionalmente lo relativo al tipo de seguridad social con el que cuentan;</w:t>
            </w:r>
          </w:p>
        </w:tc>
        <w:tc>
          <w:tcPr>
            <w:tcW w:w="1664" w:type="dxa"/>
          </w:tcPr>
          <w:p w:rsidR="003479D7" w:rsidRPr="003479D7" w:rsidRDefault="00642FAF" w:rsidP="00484789">
            <w:r>
              <w:t>Trimestral, o 15 días hábiles posteriores a una modificación</w:t>
            </w:r>
          </w:p>
        </w:tc>
        <w:tc>
          <w:tcPr>
            <w:tcW w:w="2207" w:type="dxa"/>
          </w:tcPr>
          <w:p w:rsidR="003479D7" w:rsidRPr="003479D7" w:rsidRDefault="003A2903" w:rsidP="00484789">
            <w:r>
              <w:t>Igual a la general</w:t>
            </w:r>
          </w:p>
        </w:tc>
      </w:tr>
      <w:tr w:rsidR="003479D7" w:rsidTr="003479D7">
        <w:tc>
          <w:tcPr>
            <w:tcW w:w="1129" w:type="dxa"/>
          </w:tcPr>
          <w:p w:rsidR="003479D7" w:rsidRDefault="003479D7" w:rsidP="00484789">
            <w:r>
              <w:t>IV</w:t>
            </w:r>
          </w:p>
        </w:tc>
        <w:tc>
          <w:tcPr>
            <w:tcW w:w="3828" w:type="dxa"/>
          </w:tcPr>
          <w:p w:rsidR="003479D7" w:rsidRPr="003479D7" w:rsidRDefault="003479D7" w:rsidP="003479D7">
            <w:r w:rsidRPr="003479D7">
              <w:t xml:space="preserve">Los servicios a su cargo y los trámites, </w:t>
            </w:r>
            <w:r w:rsidRPr="003479D7">
              <w:lastRenderedPageBreak/>
              <w:t>requisitos y formatos correspondientes y, en su caso, el monto de los derechos para acceder a los mismos, debiendo incluir además información sobre la población a la cual están destinados los programas;</w:t>
            </w:r>
          </w:p>
        </w:tc>
        <w:tc>
          <w:tcPr>
            <w:tcW w:w="1664" w:type="dxa"/>
          </w:tcPr>
          <w:p w:rsidR="003479D7" w:rsidRPr="003479D7" w:rsidRDefault="00B40B40" w:rsidP="00484789">
            <w:r>
              <w:lastRenderedPageBreak/>
              <w:t xml:space="preserve">Trimestral, o 15 </w:t>
            </w:r>
            <w:r>
              <w:lastRenderedPageBreak/>
              <w:t>días hábiles posteriores a una modificación</w:t>
            </w:r>
          </w:p>
        </w:tc>
        <w:tc>
          <w:tcPr>
            <w:tcW w:w="2207" w:type="dxa"/>
          </w:tcPr>
          <w:p w:rsidR="003479D7" w:rsidRPr="003479D7" w:rsidRDefault="00B40B40" w:rsidP="00484789">
            <w:r>
              <w:lastRenderedPageBreak/>
              <w:t>Información vigente</w:t>
            </w:r>
          </w:p>
        </w:tc>
      </w:tr>
      <w:tr w:rsidR="003479D7" w:rsidTr="003479D7">
        <w:tc>
          <w:tcPr>
            <w:tcW w:w="1129" w:type="dxa"/>
          </w:tcPr>
          <w:p w:rsidR="003479D7" w:rsidRDefault="003479D7" w:rsidP="00484789">
            <w:r>
              <w:lastRenderedPageBreak/>
              <w:t>V</w:t>
            </w:r>
          </w:p>
        </w:tc>
        <w:tc>
          <w:tcPr>
            <w:tcW w:w="3828" w:type="dxa"/>
          </w:tcPr>
          <w:p w:rsidR="003479D7" w:rsidRPr="003479D7" w:rsidRDefault="003479D7" w:rsidP="003479D7">
            <w:r w:rsidRPr="003479D7">
              <w:t>La información relativa a gastos de representación y viáticos deberá presentarse de manera que se pueda relacionar individualmente con el funcionario que ejerce tales recursos o reciba los viáticos;</w:t>
            </w:r>
          </w:p>
        </w:tc>
        <w:tc>
          <w:tcPr>
            <w:tcW w:w="1664" w:type="dxa"/>
          </w:tcPr>
          <w:p w:rsidR="003479D7" w:rsidRPr="003479D7" w:rsidRDefault="00B40B40" w:rsidP="00484789">
            <w:r>
              <w:t xml:space="preserve">Mensual </w:t>
            </w:r>
          </w:p>
        </w:tc>
        <w:tc>
          <w:tcPr>
            <w:tcW w:w="2207" w:type="dxa"/>
          </w:tcPr>
          <w:p w:rsidR="003479D7" w:rsidRPr="003479D7" w:rsidRDefault="00B40B40" w:rsidP="00484789">
            <w:r>
              <w:t>3 años anteriores</w:t>
            </w:r>
          </w:p>
        </w:tc>
      </w:tr>
      <w:tr w:rsidR="003479D7" w:rsidTr="003479D7">
        <w:tc>
          <w:tcPr>
            <w:tcW w:w="1129" w:type="dxa"/>
          </w:tcPr>
          <w:p w:rsidR="003479D7" w:rsidRDefault="003479D7" w:rsidP="00484789">
            <w:r>
              <w:t>VI</w:t>
            </w:r>
          </w:p>
        </w:tc>
        <w:tc>
          <w:tcPr>
            <w:tcW w:w="3828" w:type="dxa"/>
          </w:tcPr>
          <w:p w:rsidR="003479D7" w:rsidRPr="003479D7" w:rsidRDefault="003479D7" w:rsidP="003479D7">
            <w:r w:rsidRPr="003479D7">
              <w:t>El perfil de puestos de los servidores públicos, desde el nivel de jefe de departamento o equivalente, hasta el titular o titulares del sujeto obligado;</w:t>
            </w:r>
          </w:p>
        </w:tc>
        <w:tc>
          <w:tcPr>
            <w:tcW w:w="1664" w:type="dxa"/>
          </w:tcPr>
          <w:p w:rsidR="003479D7" w:rsidRPr="003479D7" w:rsidRDefault="00B40B40" w:rsidP="00484789">
            <w:r>
              <w:t>Trimestral</w:t>
            </w:r>
          </w:p>
        </w:tc>
        <w:tc>
          <w:tcPr>
            <w:tcW w:w="2207" w:type="dxa"/>
          </w:tcPr>
          <w:p w:rsidR="003479D7" w:rsidRPr="003479D7" w:rsidRDefault="00B40B40" w:rsidP="00484789">
            <w:r>
              <w:t>Información vigente</w:t>
            </w:r>
          </w:p>
        </w:tc>
      </w:tr>
      <w:tr w:rsidR="003479D7" w:rsidTr="003479D7">
        <w:tc>
          <w:tcPr>
            <w:tcW w:w="1129" w:type="dxa"/>
          </w:tcPr>
          <w:p w:rsidR="003479D7" w:rsidRDefault="003479D7" w:rsidP="00484789">
            <w:r>
              <w:t>VII</w:t>
            </w:r>
          </w:p>
        </w:tc>
        <w:tc>
          <w:tcPr>
            <w:tcW w:w="3828" w:type="dxa"/>
          </w:tcPr>
          <w:p w:rsidR="003479D7" w:rsidRPr="003479D7" w:rsidRDefault="003479D7" w:rsidP="003479D7">
            <w:r>
              <w:t>La información en Versión Pública de las Declaraciones Patrimoniales, de Conflicto de Intereses y Fiscal de los Servidores Públicos que así lo determinen, en los sistemas habilitados para ello, de acuerdo a la fracción XII del artículo 70 de la Ley General;</w:t>
            </w:r>
          </w:p>
        </w:tc>
        <w:tc>
          <w:tcPr>
            <w:tcW w:w="1664" w:type="dxa"/>
          </w:tcPr>
          <w:p w:rsidR="003479D7" w:rsidRDefault="003A2903" w:rsidP="00484789">
            <w:r>
              <w:t>Anual patrimonial y fiscal</w:t>
            </w:r>
          </w:p>
          <w:p w:rsidR="003A2903" w:rsidRPr="003479D7" w:rsidRDefault="003A2903" w:rsidP="00484789">
            <w:r>
              <w:t>Trimestral interés</w:t>
            </w:r>
          </w:p>
        </w:tc>
        <w:tc>
          <w:tcPr>
            <w:tcW w:w="2207" w:type="dxa"/>
          </w:tcPr>
          <w:p w:rsidR="003479D7" w:rsidRPr="003479D7" w:rsidRDefault="003A2903" w:rsidP="00484789">
            <w:r>
              <w:t xml:space="preserve">Vigente conforme a la normatividad aplicable </w:t>
            </w:r>
          </w:p>
        </w:tc>
      </w:tr>
      <w:tr w:rsidR="003479D7" w:rsidTr="003479D7">
        <w:tc>
          <w:tcPr>
            <w:tcW w:w="1129" w:type="dxa"/>
          </w:tcPr>
          <w:p w:rsidR="003479D7" w:rsidRDefault="003479D7" w:rsidP="00484789">
            <w:r>
              <w:t>VIII</w:t>
            </w:r>
          </w:p>
        </w:tc>
        <w:tc>
          <w:tcPr>
            <w:tcW w:w="3828" w:type="dxa"/>
          </w:tcPr>
          <w:p w:rsidR="003479D7" w:rsidRDefault="003479D7" w:rsidP="003479D7">
            <w:r w:rsidRPr="003479D7">
              <w:t>El nombre del titular de la Unidad de Transparencia, domicilio oficial, correo electrónico oficial y el número telefónico de la misma</w:t>
            </w:r>
          </w:p>
        </w:tc>
        <w:tc>
          <w:tcPr>
            <w:tcW w:w="1664" w:type="dxa"/>
          </w:tcPr>
          <w:p w:rsidR="003479D7" w:rsidRPr="003479D7" w:rsidRDefault="00B40B40" w:rsidP="00484789">
            <w:r>
              <w:t>Trimestral</w:t>
            </w:r>
          </w:p>
        </w:tc>
        <w:tc>
          <w:tcPr>
            <w:tcW w:w="2207" w:type="dxa"/>
          </w:tcPr>
          <w:p w:rsidR="003479D7" w:rsidRPr="003479D7" w:rsidRDefault="00B40B40" w:rsidP="00484789">
            <w:r>
              <w:t>Información vigente</w:t>
            </w:r>
          </w:p>
        </w:tc>
      </w:tr>
      <w:tr w:rsidR="003479D7" w:rsidTr="003479D7">
        <w:tc>
          <w:tcPr>
            <w:tcW w:w="1129" w:type="dxa"/>
          </w:tcPr>
          <w:p w:rsidR="003479D7" w:rsidRDefault="003479D7" w:rsidP="00484789">
            <w:r>
              <w:t>IX</w:t>
            </w:r>
          </w:p>
        </w:tc>
        <w:tc>
          <w:tcPr>
            <w:tcW w:w="3828" w:type="dxa"/>
          </w:tcPr>
          <w:p w:rsidR="003479D7" w:rsidRPr="003479D7" w:rsidRDefault="003479D7" w:rsidP="003479D7">
            <w:r w:rsidRPr="003479D7">
              <w:t>Dentro de la información financiera que deberá hacer pública cada sujeto obligado, se deberá especificar el presupuesto de ingresos y de egresos autorizado por la instancia correspondiente del ejercicio fiscal vigente y un apartado con el histórico con un mínimo de diez años de antigüedad; así como los avances en la ejecución del vigente. Para el cumplimiento de los avances de ejecución deberá publicarse en los sitios de internet correspondientes, los estados financieros trimestrales.</w:t>
            </w:r>
          </w:p>
        </w:tc>
        <w:tc>
          <w:tcPr>
            <w:tcW w:w="1664" w:type="dxa"/>
          </w:tcPr>
          <w:p w:rsidR="003479D7" w:rsidRPr="003479D7" w:rsidRDefault="00B40B40" w:rsidP="00484789">
            <w:r>
              <w:t>Trimestral</w:t>
            </w:r>
          </w:p>
        </w:tc>
        <w:tc>
          <w:tcPr>
            <w:tcW w:w="2207" w:type="dxa"/>
          </w:tcPr>
          <w:p w:rsidR="003479D7" w:rsidRDefault="003A2903" w:rsidP="00484789">
            <w:r>
              <w:t>2011 – 2017</w:t>
            </w:r>
          </w:p>
          <w:p w:rsidR="003A2903" w:rsidRPr="003479D7" w:rsidRDefault="003A2903" w:rsidP="00484789">
            <w:r>
              <w:t>(igual que la general)</w:t>
            </w:r>
          </w:p>
        </w:tc>
      </w:tr>
      <w:tr w:rsidR="003479D7" w:rsidTr="003479D7">
        <w:tc>
          <w:tcPr>
            <w:tcW w:w="1129" w:type="dxa"/>
          </w:tcPr>
          <w:p w:rsidR="003479D7" w:rsidRDefault="003479D7" w:rsidP="00484789">
            <w:r>
              <w:t>X</w:t>
            </w:r>
          </w:p>
        </w:tc>
        <w:tc>
          <w:tcPr>
            <w:tcW w:w="3828" w:type="dxa"/>
          </w:tcPr>
          <w:p w:rsidR="003479D7" w:rsidRPr="003479D7" w:rsidRDefault="003479D7" w:rsidP="003479D7">
            <w:r w:rsidRPr="003479D7">
              <w:t xml:space="preserve">Los informes de resultados de las auditorías al ejercicio presupuestal de cada sujeto obligado que se realicen según corresponda, por la Contraloría General del Estado, las Contralorías Internas, el Órgano Interno de Control y Evaluación Gubernamental de cada </w:t>
            </w:r>
            <w:r w:rsidRPr="003479D7">
              <w:lastRenderedPageBreak/>
              <w:t>Municipio, el Órgano Fiscalizador del Congreso y los auditores externos, incluyendo, en su caso, las aclaraciones que correspondan;</w:t>
            </w:r>
          </w:p>
        </w:tc>
        <w:tc>
          <w:tcPr>
            <w:tcW w:w="1664" w:type="dxa"/>
          </w:tcPr>
          <w:p w:rsidR="003479D7" w:rsidRPr="003479D7" w:rsidRDefault="003A2903" w:rsidP="00484789">
            <w:r>
              <w:lastRenderedPageBreak/>
              <w:t>Trimestral</w:t>
            </w:r>
          </w:p>
        </w:tc>
        <w:tc>
          <w:tcPr>
            <w:tcW w:w="2207" w:type="dxa"/>
          </w:tcPr>
          <w:p w:rsidR="003479D7" w:rsidRPr="003479D7" w:rsidRDefault="00B40B40" w:rsidP="00484789">
            <w:r>
              <w:t>10 años</w:t>
            </w:r>
          </w:p>
        </w:tc>
      </w:tr>
      <w:tr w:rsidR="003479D7" w:rsidTr="003479D7">
        <w:tc>
          <w:tcPr>
            <w:tcW w:w="1129" w:type="dxa"/>
          </w:tcPr>
          <w:p w:rsidR="003479D7" w:rsidRDefault="003479D7" w:rsidP="00484789">
            <w:r>
              <w:lastRenderedPageBreak/>
              <w:t>XI</w:t>
            </w:r>
          </w:p>
        </w:tc>
        <w:tc>
          <w:tcPr>
            <w:tcW w:w="3828" w:type="dxa"/>
          </w:tcPr>
          <w:p w:rsidR="003479D7" w:rsidRPr="003479D7" w:rsidRDefault="003479D7" w:rsidP="003479D7">
            <w:r w:rsidRPr="003479D7">
              <w:t>Las cuentas públicas que deba presentar cada sujeto obligado, según corresponda;</w:t>
            </w:r>
          </w:p>
        </w:tc>
        <w:tc>
          <w:tcPr>
            <w:tcW w:w="1664" w:type="dxa"/>
          </w:tcPr>
          <w:p w:rsidR="003479D7" w:rsidRPr="003479D7" w:rsidRDefault="00B40B40" w:rsidP="00484789">
            <w:r>
              <w:t>Anual</w:t>
            </w:r>
          </w:p>
        </w:tc>
        <w:tc>
          <w:tcPr>
            <w:tcW w:w="2207" w:type="dxa"/>
          </w:tcPr>
          <w:p w:rsidR="003479D7" w:rsidRPr="003479D7" w:rsidRDefault="00B40B40" w:rsidP="00484789">
            <w:r>
              <w:t>10 años</w:t>
            </w:r>
          </w:p>
        </w:tc>
      </w:tr>
      <w:tr w:rsidR="003479D7" w:rsidTr="003479D7">
        <w:tc>
          <w:tcPr>
            <w:tcW w:w="1129" w:type="dxa"/>
          </w:tcPr>
          <w:p w:rsidR="003479D7" w:rsidRDefault="003479D7" w:rsidP="00484789">
            <w:r>
              <w:t>XII</w:t>
            </w:r>
          </w:p>
        </w:tc>
        <w:tc>
          <w:tcPr>
            <w:tcW w:w="3828" w:type="dxa"/>
          </w:tcPr>
          <w:p w:rsidR="003479D7" w:rsidRPr="003479D7" w:rsidRDefault="003479D7" w:rsidP="003479D7">
            <w:r w:rsidRPr="003479D7">
              <w:t>La Deuda Pública y las instituciones a las que se adeuda;</w:t>
            </w:r>
          </w:p>
        </w:tc>
        <w:tc>
          <w:tcPr>
            <w:tcW w:w="1664" w:type="dxa"/>
          </w:tcPr>
          <w:p w:rsidR="003479D7" w:rsidRPr="003479D7" w:rsidRDefault="003A2903" w:rsidP="00484789">
            <w:r>
              <w:t>Trimestral, con datos mensuales de actualización</w:t>
            </w:r>
          </w:p>
        </w:tc>
        <w:tc>
          <w:tcPr>
            <w:tcW w:w="2207" w:type="dxa"/>
          </w:tcPr>
          <w:p w:rsidR="003479D7" w:rsidRPr="003479D7" w:rsidRDefault="003A2903" w:rsidP="00484789">
            <w:r>
              <w:t>2015-2017</w:t>
            </w:r>
          </w:p>
        </w:tc>
      </w:tr>
      <w:tr w:rsidR="003479D7" w:rsidTr="003479D7">
        <w:tc>
          <w:tcPr>
            <w:tcW w:w="1129" w:type="dxa"/>
          </w:tcPr>
          <w:p w:rsidR="003479D7" w:rsidRDefault="003479D7" w:rsidP="00484789">
            <w:r>
              <w:t>XIII</w:t>
            </w:r>
          </w:p>
        </w:tc>
        <w:tc>
          <w:tcPr>
            <w:tcW w:w="3828" w:type="dxa"/>
          </w:tcPr>
          <w:p w:rsidR="003479D7" w:rsidRPr="003479D7" w:rsidRDefault="003479D7" w:rsidP="003479D7">
            <w:r w:rsidRPr="003479D7">
              <w:t>La relación de fideicomisos públicos o mixtos, mandatos o contratos análogos a los que aporten recursos públicos, el monto de los mismos, sus documentos básicos de creación, así como sus informes financieros;</w:t>
            </w:r>
          </w:p>
        </w:tc>
        <w:tc>
          <w:tcPr>
            <w:tcW w:w="1664" w:type="dxa"/>
          </w:tcPr>
          <w:p w:rsidR="003479D7" w:rsidRPr="003479D7" w:rsidRDefault="00B40B40" w:rsidP="00484789">
            <w:r>
              <w:t>Mensual</w:t>
            </w:r>
          </w:p>
        </w:tc>
        <w:tc>
          <w:tcPr>
            <w:tcW w:w="2207" w:type="dxa"/>
          </w:tcPr>
          <w:p w:rsidR="003479D7" w:rsidRPr="003479D7" w:rsidRDefault="00B40B40" w:rsidP="00484789">
            <w:r>
              <w:t>12 meses</w:t>
            </w:r>
          </w:p>
        </w:tc>
      </w:tr>
      <w:tr w:rsidR="003479D7" w:rsidTr="003479D7">
        <w:tc>
          <w:tcPr>
            <w:tcW w:w="1129" w:type="dxa"/>
          </w:tcPr>
          <w:p w:rsidR="003479D7" w:rsidRDefault="003479D7" w:rsidP="00484789">
            <w:r>
              <w:t>XIV</w:t>
            </w:r>
          </w:p>
        </w:tc>
        <w:tc>
          <w:tcPr>
            <w:tcW w:w="3828" w:type="dxa"/>
          </w:tcPr>
          <w:p w:rsidR="003479D7" w:rsidRPr="003479D7" w:rsidRDefault="003479D7" w:rsidP="003479D7">
            <w:r w:rsidRPr="003479D7">
              <w:t>El padrón vehicular, indicando las funciones a las que se encuentre asignado cada vehículo;</w:t>
            </w:r>
          </w:p>
        </w:tc>
        <w:tc>
          <w:tcPr>
            <w:tcW w:w="1664" w:type="dxa"/>
          </w:tcPr>
          <w:p w:rsidR="003479D7" w:rsidRPr="003479D7" w:rsidRDefault="00B40B40" w:rsidP="00484789">
            <w:r>
              <w:t>Mensual</w:t>
            </w:r>
          </w:p>
        </w:tc>
        <w:tc>
          <w:tcPr>
            <w:tcW w:w="2207" w:type="dxa"/>
          </w:tcPr>
          <w:p w:rsidR="003479D7" w:rsidRPr="003479D7" w:rsidRDefault="00B40B40" w:rsidP="00484789">
            <w:r>
              <w:t>Información vigente</w:t>
            </w:r>
          </w:p>
        </w:tc>
      </w:tr>
      <w:tr w:rsidR="003479D7" w:rsidTr="003479D7">
        <w:tc>
          <w:tcPr>
            <w:tcW w:w="1129" w:type="dxa"/>
          </w:tcPr>
          <w:p w:rsidR="003479D7" w:rsidRDefault="003479D7" w:rsidP="00484789">
            <w:r>
              <w:t>XV</w:t>
            </w:r>
          </w:p>
        </w:tc>
        <w:tc>
          <w:tcPr>
            <w:tcW w:w="3828" w:type="dxa"/>
          </w:tcPr>
          <w:p w:rsidR="003479D7" w:rsidRPr="003479D7" w:rsidRDefault="003479D7" w:rsidP="003479D7">
            <w:r w:rsidRPr="003479D7">
              <w:t xml:space="preserve">Los planes, programas o proyectos con los indicadores de gestión, los indicadores de resultados y sus metas, de tal forma que </w:t>
            </w:r>
            <w:r w:rsidR="003A2903" w:rsidRPr="003479D7">
              <w:t>permítala</w:t>
            </w:r>
            <w:r w:rsidRPr="003479D7">
              <w:t xml:space="preserve"> evaluación del desempeño por cada área;</w:t>
            </w:r>
          </w:p>
        </w:tc>
        <w:tc>
          <w:tcPr>
            <w:tcW w:w="1664" w:type="dxa"/>
          </w:tcPr>
          <w:p w:rsidR="003479D7" w:rsidRPr="003479D7" w:rsidRDefault="00B40B40" w:rsidP="00484789">
            <w:r>
              <w:t>Trimestral,  , o 15 días hábiles posteriores a una modificación</w:t>
            </w:r>
          </w:p>
        </w:tc>
        <w:tc>
          <w:tcPr>
            <w:tcW w:w="2207" w:type="dxa"/>
          </w:tcPr>
          <w:p w:rsidR="003479D7" w:rsidRPr="003479D7" w:rsidRDefault="00B40B40" w:rsidP="00484789">
            <w:r>
              <w:t xml:space="preserve">Información vigente </w:t>
            </w:r>
          </w:p>
        </w:tc>
      </w:tr>
      <w:tr w:rsidR="003479D7" w:rsidTr="003479D7">
        <w:tc>
          <w:tcPr>
            <w:tcW w:w="1129" w:type="dxa"/>
          </w:tcPr>
          <w:p w:rsidR="003479D7" w:rsidRDefault="003479D7" w:rsidP="00484789">
            <w:r>
              <w:t>XVI</w:t>
            </w:r>
          </w:p>
        </w:tc>
        <w:tc>
          <w:tcPr>
            <w:tcW w:w="3828" w:type="dxa"/>
          </w:tcPr>
          <w:p w:rsidR="003479D7" w:rsidRPr="003479D7" w:rsidRDefault="003479D7" w:rsidP="003479D7">
            <w:r w:rsidRPr="003479D7">
              <w:t>Las actas relativas a los procesos de entrega-recepción realizados conforme a la normatividad aplicable;</w:t>
            </w:r>
          </w:p>
        </w:tc>
        <w:tc>
          <w:tcPr>
            <w:tcW w:w="1664" w:type="dxa"/>
          </w:tcPr>
          <w:p w:rsidR="003479D7" w:rsidRDefault="003A2903" w:rsidP="00484789">
            <w:r>
              <w:t>Ayuntamientos 3 años</w:t>
            </w:r>
          </w:p>
          <w:p w:rsidR="003A2903" w:rsidRDefault="003A2903" w:rsidP="00484789">
            <w:r>
              <w:t>Ejecutivo 6 años</w:t>
            </w:r>
          </w:p>
          <w:p w:rsidR="003A2903" w:rsidRPr="003479D7" w:rsidRDefault="003A2903" w:rsidP="00484789">
            <w:r>
              <w:t>Anual las de administración pública</w:t>
            </w:r>
          </w:p>
        </w:tc>
        <w:tc>
          <w:tcPr>
            <w:tcW w:w="2207" w:type="dxa"/>
          </w:tcPr>
          <w:p w:rsidR="003479D7" w:rsidRPr="003479D7" w:rsidRDefault="003A2903" w:rsidP="00484789">
            <w:r>
              <w:t>Periodo anterior y actual</w:t>
            </w:r>
          </w:p>
        </w:tc>
      </w:tr>
      <w:tr w:rsidR="003479D7" w:rsidTr="003479D7">
        <w:tc>
          <w:tcPr>
            <w:tcW w:w="1129" w:type="dxa"/>
          </w:tcPr>
          <w:p w:rsidR="003479D7" w:rsidRDefault="003479D7" w:rsidP="00484789">
            <w:r>
              <w:t>XVII</w:t>
            </w:r>
          </w:p>
        </w:tc>
        <w:tc>
          <w:tcPr>
            <w:tcW w:w="3828" w:type="dxa"/>
          </w:tcPr>
          <w:p w:rsidR="003479D7" w:rsidRPr="003479D7" w:rsidRDefault="003479D7" w:rsidP="003479D7">
            <w:r w:rsidRPr="003479D7">
              <w:t>La georreferenciación e imagen de todas las obras públicas, señalando: sector al que pertenece, ubicación y monto asignado y ejercido;</w:t>
            </w:r>
          </w:p>
        </w:tc>
        <w:tc>
          <w:tcPr>
            <w:tcW w:w="1664" w:type="dxa"/>
          </w:tcPr>
          <w:p w:rsidR="003479D7" w:rsidRPr="003479D7" w:rsidRDefault="003A2903" w:rsidP="00484789">
            <w:r>
              <w:t>Trimestral</w:t>
            </w:r>
            <w:r w:rsidR="00F012DE">
              <w:t>, 15 días después de su generación</w:t>
            </w:r>
          </w:p>
        </w:tc>
        <w:tc>
          <w:tcPr>
            <w:tcW w:w="2207" w:type="dxa"/>
          </w:tcPr>
          <w:p w:rsidR="003479D7" w:rsidRPr="003479D7" w:rsidRDefault="00F012DE" w:rsidP="00484789">
            <w:r>
              <w:t xml:space="preserve">Información vigente </w:t>
            </w:r>
          </w:p>
        </w:tc>
      </w:tr>
      <w:tr w:rsidR="003479D7" w:rsidTr="003479D7">
        <w:tc>
          <w:tcPr>
            <w:tcW w:w="1129" w:type="dxa"/>
          </w:tcPr>
          <w:p w:rsidR="003479D7" w:rsidRDefault="003479D7" w:rsidP="00484789">
            <w:r>
              <w:t>XVIII</w:t>
            </w:r>
          </w:p>
        </w:tc>
        <w:tc>
          <w:tcPr>
            <w:tcW w:w="3828" w:type="dxa"/>
          </w:tcPr>
          <w:p w:rsidR="003479D7" w:rsidRPr="003479D7" w:rsidRDefault="003479D7" w:rsidP="003479D7">
            <w:r w:rsidRPr="003479D7">
              <w:t>Dentro de los gastos relativos a comunicación social y publicidad oficial, los sujetos obligados deberán especificar el presupuesto aprobado por partida y el presupuesto ejercido, la fecha de inicio y fecha de término del concepto o campaña, la dependencia, entidad o área solicitante, el tipo de medio de comunicación utilizado, el costo por inserción, y el padrón de proveedores específico en este concepto de gasto;</w:t>
            </w:r>
          </w:p>
        </w:tc>
        <w:tc>
          <w:tcPr>
            <w:tcW w:w="1664" w:type="dxa"/>
          </w:tcPr>
          <w:p w:rsidR="003479D7" w:rsidRPr="003479D7" w:rsidRDefault="00F012DE" w:rsidP="00484789">
            <w:r>
              <w:t>Trimestral</w:t>
            </w:r>
          </w:p>
        </w:tc>
        <w:tc>
          <w:tcPr>
            <w:tcW w:w="2207" w:type="dxa"/>
          </w:tcPr>
          <w:p w:rsidR="003479D7" w:rsidRPr="003479D7" w:rsidRDefault="00F012DE" w:rsidP="00484789">
            <w:r>
              <w:t>2015 - 2017</w:t>
            </w:r>
          </w:p>
        </w:tc>
      </w:tr>
      <w:tr w:rsidR="003479D7" w:rsidTr="003479D7">
        <w:tc>
          <w:tcPr>
            <w:tcW w:w="1129" w:type="dxa"/>
          </w:tcPr>
          <w:p w:rsidR="003479D7" w:rsidRDefault="003479D7" w:rsidP="00484789">
            <w:r>
              <w:lastRenderedPageBreak/>
              <w:t>XIX</w:t>
            </w:r>
          </w:p>
        </w:tc>
        <w:tc>
          <w:tcPr>
            <w:tcW w:w="3828" w:type="dxa"/>
          </w:tcPr>
          <w:p w:rsidR="003479D7" w:rsidRPr="003479D7" w:rsidRDefault="003479D7" w:rsidP="003479D7">
            <w:r w:rsidRPr="003479D7">
              <w:t>Los índices de expedientes clasificados como reservados elaborados, tiempo de reserva, motivación y fundamento legal, organizados por rubros temáticos y presentada de forma trimestral; y,</w:t>
            </w:r>
          </w:p>
        </w:tc>
        <w:tc>
          <w:tcPr>
            <w:tcW w:w="1664" w:type="dxa"/>
          </w:tcPr>
          <w:p w:rsidR="003479D7" w:rsidRPr="003479D7" w:rsidRDefault="00F012DE" w:rsidP="00484789">
            <w:r>
              <w:t>Trimestral</w:t>
            </w:r>
          </w:p>
        </w:tc>
        <w:tc>
          <w:tcPr>
            <w:tcW w:w="2207" w:type="dxa"/>
          </w:tcPr>
          <w:p w:rsidR="003479D7" w:rsidRPr="003479D7" w:rsidRDefault="00F012DE" w:rsidP="00484789">
            <w:r>
              <w:t>Información vigente</w:t>
            </w:r>
          </w:p>
        </w:tc>
      </w:tr>
      <w:tr w:rsidR="003479D7" w:rsidTr="003479D7">
        <w:tc>
          <w:tcPr>
            <w:tcW w:w="1129" w:type="dxa"/>
          </w:tcPr>
          <w:p w:rsidR="003479D7" w:rsidRDefault="003479D7" w:rsidP="00484789">
            <w:r>
              <w:t>XX</w:t>
            </w:r>
          </w:p>
        </w:tc>
        <w:tc>
          <w:tcPr>
            <w:tcW w:w="3828" w:type="dxa"/>
          </w:tcPr>
          <w:p w:rsidR="003479D7" w:rsidRPr="003479D7" w:rsidRDefault="003479D7" w:rsidP="003479D7">
            <w:r w:rsidRPr="003479D7">
              <w:t>Las solicitudes de acceso a la información pública, las denuncias y recursos presentados en contra de su actuación en esta materia, y las respuestas que se les dé, incluyendo, en su caso, la información entregada, a través del sistema de solicitudes de acceso a la información;</w:t>
            </w:r>
          </w:p>
        </w:tc>
        <w:tc>
          <w:tcPr>
            <w:tcW w:w="1664" w:type="dxa"/>
          </w:tcPr>
          <w:p w:rsidR="003479D7" w:rsidRPr="003479D7" w:rsidRDefault="00F012DE" w:rsidP="00484789">
            <w:r>
              <w:t>Trimestral</w:t>
            </w:r>
          </w:p>
        </w:tc>
        <w:tc>
          <w:tcPr>
            <w:tcW w:w="2207" w:type="dxa"/>
          </w:tcPr>
          <w:p w:rsidR="003479D7" w:rsidRPr="003479D7" w:rsidRDefault="00F012DE" w:rsidP="00484789">
            <w:r>
              <w:t xml:space="preserve">Información vigente </w:t>
            </w:r>
          </w:p>
        </w:tc>
      </w:tr>
      <w:tr w:rsidR="003479D7" w:rsidTr="003479D7">
        <w:tc>
          <w:tcPr>
            <w:tcW w:w="1129" w:type="dxa"/>
          </w:tcPr>
          <w:p w:rsidR="003479D7" w:rsidRDefault="003479D7" w:rsidP="00484789">
            <w:r>
              <w:t>XXI</w:t>
            </w:r>
          </w:p>
        </w:tc>
        <w:tc>
          <w:tcPr>
            <w:tcW w:w="3828" w:type="dxa"/>
          </w:tcPr>
          <w:p w:rsidR="003479D7" w:rsidRPr="003479D7" w:rsidRDefault="003479D7" w:rsidP="003479D7">
            <w:r w:rsidRPr="003479D7">
              <w:t>La descripción de las reglas de procedimiento para obtener información.</w:t>
            </w:r>
          </w:p>
        </w:tc>
        <w:tc>
          <w:tcPr>
            <w:tcW w:w="1664" w:type="dxa"/>
          </w:tcPr>
          <w:p w:rsidR="003479D7" w:rsidRPr="003479D7" w:rsidRDefault="00B40B40" w:rsidP="00484789">
            <w:r>
              <w:t>15 días hábiles posteriores a una modificación</w:t>
            </w:r>
          </w:p>
        </w:tc>
        <w:tc>
          <w:tcPr>
            <w:tcW w:w="2207" w:type="dxa"/>
          </w:tcPr>
          <w:p w:rsidR="003479D7" w:rsidRPr="003479D7" w:rsidRDefault="00F012DE" w:rsidP="00484789">
            <w:r>
              <w:t>Información vigente</w:t>
            </w:r>
          </w:p>
        </w:tc>
      </w:tr>
      <w:tr w:rsidR="003479D7" w:rsidTr="003479D7">
        <w:tc>
          <w:tcPr>
            <w:tcW w:w="1129" w:type="dxa"/>
          </w:tcPr>
          <w:p w:rsidR="003479D7" w:rsidRDefault="003479D7" w:rsidP="00484789">
            <w:r>
              <w:t>XXII</w:t>
            </w:r>
          </w:p>
        </w:tc>
        <w:tc>
          <w:tcPr>
            <w:tcW w:w="3828" w:type="dxa"/>
          </w:tcPr>
          <w:p w:rsidR="003479D7" w:rsidRPr="003479D7" w:rsidRDefault="003479D7" w:rsidP="003479D7">
            <w:r w:rsidRPr="003479D7">
              <w:t>Los convenios institucionales celebrados por el sujeto obligado, especificando el tipo de convenio, con quién se celebra, objetivo, fecha de celebración y vigencia, así como copia digitalizada del convenio para su descarga;</w:t>
            </w:r>
          </w:p>
        </w:tc>
        <w:tc>
          <w:tcPr>
            <w:tcW w:w="1664" w:type="dxa"/>
          </w:tcPr>
          <w:p w:rsidR="003479D7" w:rsidRPr="003479D7" w:rsidRDefault="003479D7" w:rsidP="00484789"/>
        </w:tc>
        <w:tc>
          <w:tcPr>
            <w:tcW w:w="2207" w:type="dxa"/>
          </w:tcPr>
          <w:p w:rsidR="003479D7" w:rsidRPr="003479D7" w:rsidRDefault="00E32BC2" w:rsidP="00484789">
            <w:r>
              <w:t>Información vigente</w:t>
            </w:r>
          </w:p>
        </w:tc>
      </w:tr>
      <w:tr w:rsidR="003479D7" w:rsidTr="003479D7">
        <w:tc>
          <w:tcPr>
            <w:tcW w:w="1129" w:type="dxa"/>
          </w:tcPr>
          <w:p w:rsidR="003479D7" w:rsidRDefault="003479D7" w:rsidP="00484789">
            <w:r>
              <w:t>XXIII</w:t>
            </w:r>
          </w:p>
        </w:tc>
        <w:tc>
          <w:tcPr>
            <w:tcW w:w="3828" w:type="dxa"/>
          </w:tcPr>
          <w:p w:rsidR="003479D7" w:rsidRPr="003479D7" w:rsidRDefault="003479D7" w:rsidP="003479D7">
            <w:r w:rsidRPr="003479D7">
              <w:t>El listado, estado procesal y sentido de la resolución de los juicios de amparo, de las controversias constitucionales y las acciones de inconstitucionalidad presentadas ante el Poder Judicial de la Federación en los que sean parte;</w:t>
            </w:r>
          </w:p>
        </w:tc>
        <w:tc>
          <w:tcPr>
            <w:tcW w:w="1664" w:type="dxa"/>
          </w:tcPr>
          <w:p w:rsidR="003479D7" w:rsidRPr="003479D7" w:rsidRDefault="00E32BC2" w:rsidP="00E32BC2">
            <w:r>
              <w:t>15 días hábiles posteriores a una actuación</w:t>
            </w:r>
          </w:p>
        </w:tc>
        <w:tc>
          <w:tcPr>
            <w:tcW w:w="2207" w:type="dxa"/>
          </w:tcPr>
          <w:p w:rsidR="003479D7" w:rsidRPr="003479D7" w:rsidRDefault="00E32BC2" w:rsidP="00484789">
            <w:r>
              <w:t xml:space="preserve">10 años </w:t>
            </w:r>
          </w:p>
        </w:tc>
      </w:tr>
      <w:tr w:rsidR="003479D7" w:rsidTr="003479D7">
        <w:tc>
          <w:tcPr>
            <w:tcW w:w="1129" w:type="dxa"/>
          </w:tcPr>
          <w:p w:rsidR="003479D7" w:rsidRDefault="003479D7" w:rsidP="00484789">
            <w:r>
              <w:t>XXIV</w:t>
            </w:r>
          </w:p>
        </w:tc>
        <w:tc>
          <w:tcPr>
            <w:tcW w:w="3828" w:type="dxa"/>
          </w:tcPr>
          <w:p w:rsidR="003479D7" w:rsidRPr="003479D7" w:rsidRDefault="003479D7" w:rsidP="003479D7">
            <w:r w:rsidRPr="003479D7">
              <w:t>La calendarización de las reuniones públicas de los diversos consejos, comités, órganos colegiados, gabinetes, ayuntamientos, sesiones plenarias, comisiones y sesiones de trabajo a que se convoquen; Se deberán difundir las correspondientes minutas o actas de dichas reuniones y sesiones;</w:t>
            </w:r>
          </w:p>
        </w:tc>
        <w:tc>
          <w:tcPr>
            <w:tcW w:w="1664" w:type="dxa"/>
          </w:tcPr>
          <w:p w:rsidR="003479D7" w:rsidRPr="003479D7" w:rsidRDefault="00F012DE" w:rsidP="00484789">
            <w:r>
              <w:t>Trimestral</w:t>
            </w:r>
          </w:p>
        </w:tc>
        <w:tc>
          <w:tcPr>
            <w:tcW w:w="2207" w:type="dxa"/>
          </w:tcPr>
          <w:p w:rsidR="003479D7" w:rsidRPr="003479D7" w:rsidRDefault="00F012DE" w:rsidP="00484789">
            <w:r>
              <w:t>Ejercicio en curso (anual)</w:t>
            </w:r>
          </w:p>
        </w:tc>
      </w:tr>
      <w:tr w:rsidR="003479D7" w:rsidTr="003479D7">
        <w:tc>
          <w:tcPr>
            <w:tcW w:w="1129" w:type="dxa"/>
          </w:tcPr>
          <w:p w:rsidR="003479D7" w:rsidRDefault="003479D7" w:rsidP="00484789">
            <w:r>
              <w:t>XXV</w:t>
            </w:r>
          </w:p>
        </w:tc>
        <w:tc>
          <w:tcPr>
            <w:tcW w:w="3828" w:type="dxa"/>
          </w:tcPr>
          <w:p w:rsidR="003479D7" w:rsidRPr="003479D7" w:rsidRDefault="003479D7" w:rsidP="003479D7">
            <w:r w:rsidRPr="003479D7">
              <w:t>Las opiniones, estudios, análisis, recomendaciones y/o puntos de vista documentados que formen parte de los procesos deliberativos de los servidores públicos en materia de adquisiciones y obra pública, hasta que haya sido adoptada la decisión definitiva.</w:t>
            </w:r>
          </w:p>
        </w:tc>
        <w:tc>
          <w:tcPr>
            <w:tcW w:w="1664" w:type="dxa"/>
          </w:tcPr>
          <w:p w:rsidR="003479D7" w:rsidRPr="003479D7" w:rsidRDefault="00F012DE" w:rsidP="00484789">
            <w:r>
              <w:t>Trimestral</w:t>
            </w:r>
          </w:p>
        </w:tc>
        <w:tc>
          <w:tcPr>
            <w:tcW w:w="2207" w:type="dxa"/>
          </w:tcPr>
          <w:p w:rsidR="003479D7" w:rsidRPr="003479D7" w:rsidRDefault="00F012DE" w:rsidP="00484789">
            <w:r>
              <w:t>Ejercicio en curso</w:t>
            </w:r>
          </w:p>
        </w:tc>
      </w:tr>
      <w:tr w:rsidR="003479D7" w:rsidTr="003479D7">
        <w:tc>
          <w:tcPr>
            <w:tcW w:w="1129" w:type="dxa"/>
          </w:tcPr>
          <w:p w:rsidR="003479D7" w:rsidRDefault="003479D7" w:rsidP="00484789">
            <w:r>
              <w:t>XXVI</w:t>
            </w:r>
          </w:p>
        </w:tc>
        <w:tc>
          <w:tcPr>
            <w:tcW w:w="3828" w:type="dxa"/>
          </w:tcPr>
          <w:p w:rsidR="003479D7" w:rsidRPr="003479D7" w:rsidRDefault="003479D7" w:rsidP="003479D7">
            <w:r w:rsidRPr="003479D7">
              <w:t xml:space="preserve">La información sobre los resultados sobre procedimientos de adjudicación directa, invitación restringida y licitación </w:t>
            </w:r>
            <w:r w:rsidRPr="003479D7">
              <w:lastRenderedPageBreak/>
              <w:t>de cualquier naturaleza, incluyendo la Versión Pública del documento respectivo y de los contratos celebrados</w:t>
            </w:r>
            <w:r>
              <w:t>…</w:t>
            </w:r>
          </w:p>
        </w:tc>
        <w:tc>
          <w:tcPr>
            <w:tcW w:w="1664" w:type="dxa"/>
          </w:tcPr>
          <w:p w:rsidR="003479D7" w:rsidRPr="003479D7" w:rsidRDefault="00E32BC2" w:rsidP="00484789">
            <w:r>
              <w:lastRenderedPageBreak/>
              <w:t>Trimestral</w:t>
            </w:r>
          </w:p>
        </w:tc>
        <w:tc>
          <w:tcPr>
            <w:tcW w:w="2207" w:type="dxa"/>
          </w:tcPr>
          <w:p w:rsidR="003479D7" w:rsidRPr="003479D7" w:rsidRDefault="00E32BC2" w:rsidP="00484789">
            <w:r>
              <w:t>10 años</w:t>
            </w:r>
          </w:p>
        </w:tc>
      </w:tr>
      <w:tr w:rsidR="003479D7" w:rsidTr="003479D7">
        <w:tc>
          <w:tcPr>
            <w:tcW w:w="1129" w:type="dxa"/>
          </w:tcPr>
          <w:p w:rsidR="003479D7" w:rsidRDefault="003479D7" w:rsidP="00484789">
            <w:r>
              <w:lastRenderedPageBreak/>
              <w:t>XXVII</w:t>
            </w:r>
          </w:p>
        </w:tc>
        <w:tc>
          <w:tcPr>
            <w:tcW w:w="3828" w:type="dxa"/>
          </w:tcPr>
          <w:p w:rsidR="003479D7" w:rsidRPr="003479D7" w:rsidRDefault="003479D7" w:rsidP="003479D7">
            <w:r w:rsidRPr="003479D7">
              <w:t>Los catálogos documentales de sus archivos administrativos</w:t>
            </w:r>
          </w:p>
        </w:tc>
        <w:tc>
          <w:tcPr>
            <w:tcW w:w="1664" w:type="dxa"/>
          </w:tcPr>
          <w:p w:rsidR="003479D7" w:rsidRPr="003479D7" w:rsidRDefault="00E32BC2" w:rsidP="00484789">
            <w:r>
              <w:t>Mensual</w:t>
            </w:r>
          </w:p>
        </w:tc>
        <w:tc>
          <w:tcPr>
            <w:tcW w:w="2207" w:type="dxa"/>
          </w:tcPr>
          <w:p w:rsidR="003479D7" w:rsidRPr="003479D7" w:rsidRDefault="00E32BC2" w:rsidP="00484789">
            <w:r>
              <w:t>Información vigente</w:t>
            </w:r>
          </w:p>
        </w:tc>
      </w:tr>
      <w:tr w:rsidR="00F012DE" w:rsidTr="003479D7">
        <w:tc>
          <w:tcPr>
            <w:tcW w:w="1129" w:type="dxa"/>
          </w:tcPr>
          <w:p w:rsidR="00F012DE" w:rsidRDefault="00F012DE" w:rsidP="00484789"/>
        </w:tc>
        <w:tc>
          <w:tcPr>
            <w:tcW w:w="3828" w:type="dxa"/>
          </w:tcPr>
          <w:p w:rsidR="00F012DE" w:rsidRPr="003479D7" w:rsidRDefault="00F012DE" w:rsidP="003479D7"/>
        </w:tc>
        <w:tc>
          <w:tcPr>
            <w:tcW w:w="1664" w:type="dxa"/>
          </w:tcPr>
          <w:p w:rsidR="00F012DE" w:rsidRDefault="00F012DE" w:rsidP="00484789"/>
        </w:tc>
        <w:tc>
          <w:tcPr>
            <w:tcW w:w="2207" w:type="dxa"/>
          </w:tcPr>
          <w:p w:rsidR="00F012DE" w:rsidRDefault="00F012DE" w:rsidP="00484789"/>
        </w:tc>
      </w:tr>
    </w:tbl>
    <w:p w:rsidR="003479D7" w:rsidRDefault="003479D7" w:rsidP="003479D7"/>
    <w:sectPr w:rsidR="003479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D7"/>
    <w:rsid w:val="00000446"/>
    <w:rsid w:val="00005E34"/>
    <w:rsid w:val="000111DC"/>
    <w:rsid w:val="00023B3B"/>
    <w:rsid w:val="00027FE2"/>
    <w:rsid w:val="000360D2"/>
    <w:rsid w:val="00045D67"/>
    <w:rsid w:val="000573DF"/>
    <w:rsid w:val="0006135C"/>
    <w:rsid w:val="000756D6"/>
    <w:rsid w:val="00080421"/>
    <w:rsid w:val="00083C91"/>
    <w:rsid w:val="000959E4"/>
    <w:rsid w:val="000C1DFA"/>
    <w:rsid w:val="000C2B17"/>
    <w:rsid w:val="000C38CA"/>
    <w:rsid w:val="000D6768"/>
    <w:rsid w:val="000F6582"/>
    <w:rsid w:val="00121217"/>
    <w:rsid w:val="0013445D"/>
    <w:rsid w:val="001554E6"/>
    <w:rsid w:val="00157567"/>
    <w:rsid w:val="00164376"/>
    <w:rsid w:val="001676E4"/>
    <w:rsid w:val="001C7CD7"/>
    <w:rsid w:val="001F242C"/>
    <w:rsid w:val="001F6046"/>
    <w:rsid w:val="0020227E"/>
    <w:rsid w:val="00205657"/>
    <w:rsid w:val="00224EFB"/>
    <w:rsid w:val="00231C60"/>
    <w:rsid w:val="00245C13"/>
    <w:rsid w:val="00247078"/>
    <w:rsid w:val="00251E09"/>
    <w:rsid w:val="00251FF9"/>
    <w:rsid w:val="002656BF"/>
    <w:rsid w:val="00265C00"/>
    <w:rsid w:val="002678B9"/>
    <w:rsid w:val="0027036F"/>
    <w:rsid w:val="00277FAA"/>
    <w:rsid w:val="00280F4F"/>
    <w:rsid w:val="00286CEE"/>
    <w:rsid w:val="002A101B"/>
    <w:rsid w:val="002A2962"/>
    <w:rsid w:val="002A7EEE"/>
    <w:rsid w:val="002D4FA7"/>
    <w:rsid w:val="00325394"/>
    <w:rsid w:val="0032552D"/>
    <w:rsid w:val="00327598"/>
    <w:rsid w:val="00335FE6"/>
    <w:rsid w:val="00344EFD"/>
    <w:rsid w:val="003479D7"/>
    <w:rsid w:val="003604F0"/>
    <w:rsid w:val="003639B5"/>
    <w:rsid w:val="00376704"/>
    <w:rsid w:val="00382ED4"/>
    <w:rsid w:val="00385A87"/>
    <w:rsid w:val="003A2903"/>
    <w:rsid w:val="003A2CA2"/>
    <w:rsid w:val="003B7EF4"/>
    <w:rsid w:val="003C4D83"/>
    <w:rsid w:val="003C61F1"/>
    <w:rsid w:val="003D4757"/>
    <w:rsid w:val="003D719D"/>
    <w:rsid w:val="003E4F96"/>
    <w:rsid w:val="00401919"/>
    <w:rsid w:val="00415795"/>
    <w:rsid w:val="004217D5"/>
    <w:rsid w:val="00455950"/>
    <w:rsid w:val="00471401"/>
    <w:rsid w:val="004773AB"/>
    <w:rsid w:val="00481844"/>
    <w:rsid w:val="004B27FE"/>
    <w:rsid w:val="004B3D7F"/>
    <w:rsid w:val="004E1FC7"/>
    <w:rsid w:val="004F6242"/>
    <w:rsid w:val="004F66E9"/>
    <w:rsid w:val="004F76F0"/>
    <w:rsid w:val="005064AA"/>
    <w:rsid w:val="005133F4"/>
    <w:rsid w:val="00526591"/>
    <w:rsid w:val="00531CBD"/>
    <w:rsid w:val="005325BA"/>
    <w:rsid w:val="00543CAB"/>
    <w:rsid w:val="00547A14"/>
    <w:rsid w:val="00560533"/>
    <w:rsid w:val="00571C20"/>
    <w:rsid w:val="00581463"/>
    <w:rsid w:val="0058236B"/>
    <w:rsid w:val="005A5621"/>
    <w:rsid w:val="005C6AF8"/>
    <w:rsid w:val="00614F55"/>
    <w:rsid w:val="00635BFF"/>
    <w:rsid w:val="00642859"/>
    <w:rsid w:val="00642A03"/>
    <w:rsid w:val="00642FAF"/>
    <w:rsid w:val="0065475E"/>
    <w:rsid w:val="0065583F"/>
    <w:rsid w:val="006644B8"/>
    <w:rsid w:val="00664F4A"/>
    <w:rsid w:val="00673F1F"/>
    <w:rsid w:val="006801D2"/>
    <w:rsid w:val="00696FE9"/>
    <w:rsid w:val="006C0593"/>
    <w:rsid w:val="006D1977"/>
    <w:rsid w:val="0070131E"/>
    <w:rsid w:val="00703BB9"/>
    <w:rsid w:val="00706939"/>
    <w:rsid w:val="007102DD"/>
    <w:rsid w:val="00727DC1"/>
    <w:rsid w:val="00751F49"/>
    <w:rsid w:val="007760E5"/>
    <w:rsid w:val="00785419"/>
    <w:rsid w:val="007B2D77"/>
    <w:rsid w:val="007C4A5A"/>
    <w:rsid w:val="007E1DB0"/>
    <w:rsid w:val="007E24F7"/>
    <w:rsid w:val="007F152D"/>
    <w:rsid w:val="007F18D1"/>
    <w:rsid w:val="007F2D03"/>
    <w:rsid w:val="008059E7"/>
    <w:rsid w:val="00820ADC"/>
    <w:rsid w:val="0083513D"/>
    <w:rsid w:val="0083572E"/>
    <w:rsid w:val="0085755D"/>
    <w:rsid w:val="008879D5"/>
    <w:rsid w:val="008D2C67"/>
    <w:rsid w:val="008E5449"/>
    <w:rsid w:val="008E5D46"/>
    <w:rsid w:val="008F3860"/>
    <w:rsid w:val="008F7696"/>
    <w:rsid w:val="008F7D42"/>
    <w:rsid w:val="00913542"/>
    <w:rsid w:val="009136B2"/>
    <w:rsid w:val="00916730"/>
    <w:rsid w:val="00917838"/>
    <w:rsid w:val="0092160C"/>
    <w:rsid w:val="009223CC"/>
    <w:rsid w:val="00935F19"/>
    <w:rsid w:val="009525B3"/>
    <w:rsid w:val="00972CB8"/>
    <w:rsid w:val="009964D0"/>
    <w:rsid w:val="009D3F82"/>
    <w:rsid w:val="00A22500"/>
    <w:rsid w:val="00A2729D"/>
    <w:rsid w:val="00A303D9"/>
    <w:rsid w:val="00A35531"/>
    <w:rsid w:val="00A46988"/>
    <w:rsid w:val="00A70330"/>
    <w:rsid w:val="00A870DF"/>
    <w:rsid w:val="00A92BB0"/>
    <w:rsid w:val="00AE0C0D"/>
    <w:rsid w:val="00AF34E7"/>
    <w:rsid w:val="00B0493C"/>
    <w:rsid w:val="00B14F49"/>
    <w:rsid w:val="00B40B40"/>
    <w:rsid w:val="00B51395"/>
    <w:rsid w:val="00B731D5"/>
    <w:rsid w:val="00B93682"/>
    <w:rsid w:val="00BB3468"/>
    <w:rsid w:val="00BB3FDD"/>
    <w:rsid w:val="00BB4039"/>
    <w:rsid w:val="00BB5371"/>
    <w:rsid w:val="00BB715B"/>
    <w:rsid w:val="00BC66A3"/>
    <w:rsid w:val="00BD15E5"/>
    <w:rsid w:val="00BF0F37"/>
    <w:rsid w:val="00C0017E"/>
    <w:rsid w:val="00C34DD2"/>
    <w:rsid w:val="00C35677"/>
    <w:rsid w:val="00C530D2"/>
    <w:rsid w:val="00C53AB4"/>
    <w:rsid w:val="00C54EC3"/>
    <w:rsid w:val="00C61E9A"/>
    <w:rsid w:val="00C704E6"/>
    <w:rsid w:val="00C74F22"/>
    <w:rsid w:val="00C776F4"/>
    <w:rsid w:val="00C86A30"/>
    <w:rsid w:val="00CB01FF"/>
    <w:rsid w:val="00CB2AE5"/>
    <w:rsid w:val="00CB4A74"/>
    <w:rsid w:val="00CD0760"/>
    <w:rsid w:val="00CD094A"/>
    <w:rsid w:val="00CD0BD1"/>
    <w:rsid w:val="00CD5218"/>
    <w:rsid w:val="00CD7A0C"/>
    <w:rsid w:val="00CE4D93"/>
    <w:rsid w:val="00CE7BF5"/>
    <w:rsid w:val="00D11D1C"/>
    <w:rsid w:val="00D21B61"/>
    <w:rsid w:val="00D27F9A"/>
    <w:rsid w:val="00D32468"/>
    <w:rsid w:val="00D33887"/>
    <w:rsid w:val="00D5683F"/>
    <w:rsid w:val="00D57881"/>
    <w:rsid w:val="00D67FE4"/>
    <w:rsid w:val="00D74885"/>
    <w:rsid w:val="00D85DE8"/>
    <w:rsid w:val="00D928B6"/>
    <w:rsid w:val="00D970DC"/>
    <w:rsid w:val="00D97691"/>
    <w:rsid w:val="00DB1D34"/>
    <w:rsid w:val="00DB2F21"/>
    <w:rsid w:val="00DB6C30"/>
    <w:rsid w:val="00DC79EB"/>
    <w:rsid w:val="00DD59CD"/>
    <w:rsid w:val="00DF60CB"/>
    <w:rsid w:val="00E047D9"/>
    <w:rsid w:val="00E169A5"/>
    <w:rsid w:val="00E2110A"/>
    <w:rsid w:val="00E27032"/>
    <w:rsid w:val="00E3117D"/>
    <w:rsid w:val="00E32BC2"/>
    <w:rsid w:val="00E42407"/>
    <w:rsid w:val="00E64634"/>
    <w:rsid w:val="00E80C0B"/>
    <w:rsid w:val="00E8239A"/>
    <w:rsid w:val="00E90BD1"/>
    <w:rsid w:val="00E977BE"/>
    <w:rsid w:val="00EA37BC"/>
    <w:rsid w:val="00EA4CE0"/>
    <w:rsid w:val="00EB2E4C"/>
    <w:rsid w:val="00ED45B0"/>
    <w:rsid w:val="00EE1621"/>
    <w:rsid w:val="00F012DE"/>
    <w:rsid w:val="00F25A3A"/>
    <w:rsid w:val="00F301C5"/>
    <w:rsid w:val="00F51471"/>
    <w:rsid w:val="00F527C3"/>
    <w:rsid w:val="00F709C7"/>
    <w:rsid w:val="00F968FE"/>
    <w:rsid w:val="00FA31FA"/>
    <w:rsid w:val="00FC1843"/>
    <w:rsid w:val="00FC33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47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47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6755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Deisy Edrey Rodríguez Hernández</dc:creator>
  <cp:lastModifiedBy>Juridico01</cp:lastModifiedBy>
  <cp:revision>2</cp:revision>
  <dcterms:created xsi:type="dcterms:W3CDTF">2017-10-13T22:09:00Z</dcterms:created>
  <dcterms:modified xsi:type="dcterms:W3CDTF">2017-10-13T22:09:00Z</dcterms:modified>
</cp:coreProperties>
</file>