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6C4" w:rsidRPr="00922E7F" w:rsidRDefault="00926FAD" w:rsidP="00922E7F">
      <w:pPr>
        <w:spacing w:after="0" w:line="240" w:lineRule="auto"/>
        <w:ind w:left="851"/>
        <w:jc w:val="center"/>
        <w:rPr>
          <w:rFonts w:ascii="Calibri" w:eastAsia="Times New Roman" w:hAnsi="Calibri" w:cs="Times New Roman"/>
          <w:b/>
          <w:bCs/>
          <w:color w:val="60497A"/>
          <w:sz w:val="28"/>
          <w:szCs w:val="28"/>
        </w:rPr>
      </w:pPr>
      <w:bookmarkStart w:id="0" w:name="_GoBack"/>
      <w:bookmarkEnd w:id="0"/>
      <w:r w:rsidRPr="00922E7F">
        <w:rPr>
          <w:rFonts w:ascii="Calibri" w:eastAsia="Times New Roman" w:hAnsi="Calibri" w:cs="Times New Roman"/>
          <w:b/>
          <w:bCs/>
          <w:color w:val="60497A"/>
          <w:sz w:val="28"/>
          <w:szCs w:val="28"/>
        </w:rPr>
        <w:t xml:space="preserve">Tabla de aplicabilidad de las Obligaciones de transparencia </w:t>
      </w:r>
      <w:r w:rsidR="00B12FAC">
        <w:rPr>
          <w:rFonts w:ascii="Calibri" w:eastAsia="Times New Roman" w:hAnsi="Calibri" w:cs="Times New Roman"/>
          <w:b/>
          <w:bCs/>
          <w:color w:val="60497A"/>
          <w:sz w:val="28"/>
          <w:szCs w:val="28"/>
        </w:rPr>
        <w:t>específicas del Poder Ejecutivo</w:t>
      </w:r>
      <w:r w:rsidR="0091347C">
        <w:rPr>
          <w:rFonts w:ascii="Calibri" w:eastAsia="Times New Roman" w:hAnsi="Calibri" w:cs="Times New Roman"/>
          <w:b/>
          <w:bCs/>
          <w:color w:val="60497A"/>
          <w:sz w:val="28"/>
          <w:szCs w:val="28"/>
        </w:rPr>
        <w:t xml:space="preserve"> 2016</w:t>
      </w:r>
      <w:r w:rsidR="00F307FE" w:rsidRPr="00922E7F">
        <w:rPr>
          <w:rFonts w:ascii="Calibri" w:eastAsia="Times New Roman" w:hAnsi="Calibri" w:cs="Times New Roman"/>
          <w:b/>
          <w:bCs/>
          <w:color w:val="60497A"/>
          <w:sz w:val="28"/>
          <w:szCs w:val="28"/>
        </w:rPr>
        <w:t xml:space="preserve"> del/la &lt;&lt;sujeto obligado&gt;&gt;</w:t>
      </w:r>
    </w:p>
    <w:p w:rsidR="00554264" w:rsidRDefault="00554264" w:rsidP="00667E9A">
      <w:pPr>
        <w:spacing w:after="0" w:line="240" w:lineRule="auto"/>
        <w:ind w:left="851"/>
        <w:jc w:val="both"/>
        <w:rPr>
          <w:i/>
        </w:rPr>
      </w:pPr>
    </w:p>
    <w:p w:rsidR="00667E9A" w:rsidRDefault="00667E9A" w:rsidP="00667E9A">
      <w:pPr>
        <w:spacing w:after="0" w:line="240" w:lineRule="auto"/>
        <w:ind w:left="851"/>
        <w:jc w:val="both"/>
        <w:rPr>
          <w:rFonts w:ascii="Calibri" w:eastAsia="Times New Roman" w:hAnsi="Calibri" w:cs="Times New Roman"/>
          <w:b/>
          <w:bCs/>
          <w:color w:val="60497A"/>
        </w:rPr>
      </w:pPr>
      <w:r w:rsidRPr="00554264">
        <w:rPr>
          <w:rFonts w:ascii="Calibri" w:eastAsia="Times New Roman" w:hAnsi="Calibri" w:cs="Times New Roman"/>
          <w:b/>
          <w:bCs/>
          <w:i/>
          <w:color w:val="60497A"/>
          <w:sz w:val="24"/>
          <w:szCs w:val="24"/>
        </w:rPr>
        <w:t>Artículo 7</w:t>
      </w:r>
      <w:r w:rsidR="00B12FAC">
        <w:rPr>
          <w:rFonts w:ascii="Calibri" w:eastAsia="Times New Roman" w:hAnsi="Calibri" w:cs="Times New Roman"/>
          <w:b/>
          <w:bCs/>
          <w:i/>
          <w:color w:val="60497A"/>
          <w:sz w:val="24"/>
          <w:szCs w:val="24"/>
        </w:rPr>
        <w:t>1</w:t>
      </w:r>
      <w:r w:rsidRPr="00554264">
        <w:rPr>
          <w:rFonts w:ascii="Calibri" w:eastAsia="Times New Roman" w:hAnsi="Calibri" w:cs="Times New Roman"/>
          <w:b/>
          <w:bCs/>
          <w:i/>
          <w:color w:val="60497A"/>
          <w:sz w:val="24"/>
          <w:szCs w:val="24"/>
        </w:rPr>
        <w:t>.</w:t>
      </w:r>
      <w:r w:rsidR="00B12FAC" w:rsidRPr="00B12FAC">
        <w:rPr>
          <w:i/>
        </w:rPr>
        <w:t>Además de lo señalado en el artículo anterior de la presente Ley, los sujetos obligados de los Poderes Ejecutivos Federal, de las Entidades Federativas y municipales, deberán poner a disposición del público y actu</w:t>
      </w:r>
      <w:r w:rsidR="00B12FAC">
        <w:rPr>
          <w:i/>
        </w:rPr>
        <w:t>alizar la siguiente información</w:t>
      </w:r>
      <w:r w:rsidRPr="00667E9A">
        <w:rPr>
          <w:i/>
        </w:rPr>
        <w:t>:</w:t>
      </w:r>
    </w:p>
    <w:p w:rsidR="00B12FAC" w:rsidRDefault="00B12FAC" w:rsidP="00667E9A">
      <w:pPr>
        <w:spacing w:after="0" w:line="240" w:lineRule="auto"/>
        <w:ind w:left="851"/>
        <w:jc w:val="both"/>
        <w:rPr>
          <w:rFonts w:ascii="Calibri" w:eastAsia="Times New Roman" w:hAnsi="Calibri" w:cs="Times New Roman"/>
          <w:b/>
          <w:bCs/>
          <w:color w:val="60497A"/>
        </w:rPr>
      </w:pPr>
    </w:p>
    <w:tbl>
      <w:tblPr>
        <w:tblW w:w="5000" w:type="pct"/>
        <w:jc w:val="center"/>
        <w:tblLayout w:type="fixed"/>
        <w:tblCellMar>
          <w:left w:w="70" w:type="dxa"/>
          <w:right w:w="70" w:type="dxa"/>
        </w:tblCellMar>
        <w:tblLook w:val="04A0"/>
      </w:tblPr>
      <w:tblGrid>
        <w:gridCol w:w="855"/>
        <w:gridCol w:w="1004"/>
        <w:gridCol w:w="2009"/>
        <w:gridCol w:w="1861"/>
        <w:gridCol w:w="2153"/>
        <w:gridCol w:w="2866"/>
        <w:gridCol w:w="2398"/>
      </w:tblGrid>
      <w:tr w:rsidR="00206736" w:rsidRPr="00B12FAC" w:rsidTr="00206736">
        <w:trPr>
          <w:trHeight w:val="765"/>
          <w:tblHeader/>
          <w:jc w:val="center"/>
        </w:trPr>
        <w:tc>
          <w:tcPr>
            <w:tcW w:w="325"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Orden de gobierno</w:t>
            </w:r>
          </w:p>
        </w:tc>
        <w:tc>
          <w:tcPr>
            <w:tcW w:w="382"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Poder de gobierno o ámbito al que pertenece</w:t>
            </w:r>
          </w:p>
        </w:tc>
        <w:tc>
          <w:tcPr>
            <w:tcW w:w="764"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Tipo de sujeto obligado</w:t>
            </w:r>
          </w:p>
        </w:tc>
        <w:tc>
          <w:tcPr>
            <w:tcW w:w="3529" w:type="pct"/>
            <w:gridSpan w:val="4"/>
            <w:tcBorders>
              <w:top w:val="dotted" w:sz="4" w:space="0" w:color="auto"/>
              <w:left w:val="nil"/>
              <w:bottom w:val="dotted" w:sz="4" w:space="0" w:color="auto"/>
              <w:right w:val="dotted" w:sz="4" w:space="0" w:color="auto"/>
            </w:tcBorders>
            <w:shd w:val="clear" w:color="000000" w:fill="60497A"/>
            <w:vAlign w:val="center"/>
            <w:hideMark/>
          </w:tcPr>
          <w:p w:rsidR="00206736" w:rsidRPr="00B12FAC" w:rsidRDefault="00206736"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LGTAIP</w:t>
            </w:r>
          </w:p>
        </w:tc>
      </w:tr>
      <w:tr w:rsidR="00B12FAC" w:rsidRPr="00B12FAC" w:rsidTr="00B12FAC">
        <w:trPr>
          <w:trHeight w:val="745"/>
          <w:tblHeader/>
          <w:jc w:val="center"/>
        </w:trPr>
        <w:tc>
          <w:tcPr>
            <w:tcW w:w="325"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382"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764"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708"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Fracción</w:t>
            </w:r>
          </w:p>
        </w:tc>
        <w:tc>
          <w:tcPr>
            <w:tcW w:w="819"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inciso</w:t>
            </w:r>
          </w:p>
        </w:tc>
        <w:tc>
          <w:tcPr>
            <w:tcW w:w="1090"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Aplicabilidad</w:t>
            </w:r>
          </w:p>
        </w:tc>
        <w:tc>
          <w:tcPr>
            <w:tcW w:w="912"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Área(s) o unidad(es) administrativa(s) genera(n) o posee(n) la información</w:t>
            </w:r>
          </w:p>
        </w:tc>
      </w:tr>
      <w:tr w:rsidR="00B12FAC" w:rsidRPr="00B12FAC" w:rsidTr="00387A7D">
        <w:trPr>
          <w:trHeight w:val="2700"/>
          <w:jc w:val="center"/>
        </w:trPr>
        <w:tc>
          <w:tcPr>
            <w:tcW w:w="325"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Federal</w:t>
            </w:r>
          </w:p>
        </w:tc>
        <w:tc>
          <w:tcPr>
            <w:tcW w:w="382"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Poder Ejecutivo</w:t>
            </w:r>
          </w:p>
        </w:tc>
        <w:tc>
          <w:tcPr>
            <w:tcW w:w="764" w:type="pct"/>
            <w:vMerge w:val="restart"/>
            <w:tcBorders>
              <w:top w:val="nil"/>
              <w:left w:val="dotted" w:sz="4" w:space="0" w:color="auto"/>
              <w:bottom w:val="dotted" w:sz="4" w:space="0" w:color="auto"/>
              <w:right w:val="dotted" w:sz="4" w:space="0" w:color="auto"/>
            </w:tcBorders>
            <w:shd w:val="clear" w:color="auto" w:fill="auto"/>
            <w:vAlign w:val="center"/>
            <w:hideMark/>
          </w:tcPr>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rPr>
            </w:pPr>
            <w:proofErr w:type="spellStart"/>
            <w:r w:rsidRPr="00206736">
              <w:rPr>
                <w:rFonts w:ascii="Calibri" w:eastAsia="Times New Roman" w:hAnsi="Calibri" w:cs="Times New Roman"/>
                <w:color w:val="000000"/>
                <w:sz w:val="16"/>
              </w:rPr>
              <w:t>Administración</w:t>
            </w:r>
            <w:proofErr w:type="spellEnd"/>
            <w:r w:rsidR="002D49CD">
              <w:rPr>
                <w:rFonts w:ascii="Calibri" w:eastAsia="Times New Roman" w:hAnsi="Calibri" w:cs="Times New Roman"/>
                <w:color w:val="000000"/>
                <w:sz w:val="16"/>
              </w:rPr>
              <w:t xml:space="preserve"> </w:t>
            </w:r>
            <w:proofErr w:type="spellStart"/>
            <w:r w:rsidRPr="00206736">
              <w:rPr>
                <w:rFonts w:ascii="Calibri" w:eastAsia="Times New Roman" w:hAnsi="Calibri" w:cs="Times New Roman"/>
                <w:color w:val="000000"/>
                <w:sz w:val="16"/>
              </w:rPr>
              <w:t>Centralizada</w:t>
            </w:r>
            <w:proofErr w:type="spellEnd"/>
          </w:p>
          <w:p w:rsidR="00206736" w:rsidRDefault="00206736"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Pr>
                <w:rFonts w:ascii="Calibri" w:eastAsia="Times New Roman" w:hAnsi="Calibri" w:cs="Times New Roman"/>
                <w:color w:val="000000"/>
                <w:sz w:val="16"/>
                <w:lang w:val="es-MX"/>
              </w:rPr>
              <w:t>Organismo desconcentrado</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 xml:space="preserve"> Organismo descentralizado</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Empresa de Participación - Estatal Mayoritaria</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Fideicomiso, Fondo, Mandato</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Órganos reguladores coordinados</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Empresas productivas del Estado</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Subsidiaria</w:t>
            </w:r>
          </w:p>
          <w:p w:rsidR="00B12FAC" w:rsidRP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lastRenderedPageBreak/>
              <w:t>Filial</w:t>
            </w: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lastRenderedPageBreak/>
              <w:t>I. En el caso del Poder Ejecutivo Federal, los poderes ejecutivos de las Entidades Federativas, el Órgano Ejecutivo del Distrito Federal y los municipios:</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Plan Nacional de Desarrollo, los planes estatales de desarrollo o el Programa General de Desarrollo del Distrito Federal, según corresponda;</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B12FAC" w:rsidP="002D49CD">
            <w:pPr>
              <w:spacing w:after="0" w:line="240" w:lineRule="auto"/>
              <w:jc w:val="center"/>
              <w:rPr>
                <w:rFonts w:ascii="Calibri" w:eastAsia="Times New Roman" w:hAnsi="Calibri" w:cs="Times New Roman"/>
                <w:color w:val="2F2F2F"/>
                <w:sz w:val="16"/>
              </w:rPr>
            </w:pPr>
            <w:r w:rsidRPr="00B12FAC">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center"/>
            <w:hideMark/>
          </w:tcPr>
          <w:p w:rsidR="009E2557" w:rsidRPr="009E2557" w:rsidRDefault="002D49CD" w:rsidP="00387A7D">
            <w:pPr>
              <w:spacing w:after="0" w:line="240" w:lineRule="auto"/>
              <w:rPr>
                <w:rFonts w:ascii="Calibri" w:eastAsia="Times New Roman" w:hAnsi="Calibri" w:cs="Times New Roman"/>
                <w:b/>
                <w:color w:val="000000"/>
                <w:sz w:val="16"/>
              </w:rPr>
            </w:pPr>
            <w:r>
              <w:rPr>
                <w:rFonts w:ascii="Calibri" w:eastAsia="Times New Roman" w:hAnsi="Calibri" w:cs="Times New Roman"/>
                <w:color w:val="000000"/>
                <w:sz w:val="20"/>
                <w:szCs w:val="20"/>
              </w:rPr>
              <w:t>Dirección General de Planeación, Administración y Evaluación de SAGARHPA</w:t>
            </w:r>
          </w:p>
          <w:p w:rsidR="009E2557" w:rsidRPr="009E2557" w:rsidRDefault="009E2557" w:rsidP="00387A7D">
            <w:pPr>
              <w:spacing w:after="0" w:line="240" w:lineRule="auto"/>
              <w:rPr>
                <w:rFonts w:ascii="Calibri" w:eastAsia="Times New Roman" w:hAnsi="Calibri" w:cs="Times New Roman"/>
                <w:b/>
                <w:color w:val="000000"/>
                <w:sz w:val="16"/>
              </w:rPr>
            </w:pPr>
          </w:p>
        </w:tc>
      </w:tr>
      <w:tr w:rsidR="00B12FAC" w:rsidRPr="00B12FAC" w:rsidTr="00B12FAC">
        <w:trPr>
          <w:trHeight w:val="6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FE3426" w:rsidRDefault="00B12FAC" w:rsidP="00B12FAC">
            <w:pPr>
              <w:spacing w:after="0" w:line="240" w:lineRule="auto"/>
              <w:rPr>
                <w:rFonts w:ascii="Calibri" w:eastAsia="Times New Roman" w:hAnsi="Calibri" w:cs="Times New Roman"/>
                <w:color w:val="2F2F2F"/>
                <w:sz w:val="16"/>
              </w:rPr>
            </w:pPr>
            <w:r w:rsidRPr="00FE3426">
              <w:rPr>
                <w:rFonts w:ascii="Calibri" w:eastAsia="Times New Roman" w:hAnsi="Calibri" w:cs="Times New Roman"/>
                <w:color w:val="2F2F2F"/>
                <w:sz w:val="16"/>
              </w:rPr>
              <w:t>b)    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B12FAC" w:rsidP="002D49CD">
            <w:pPr>
              <w:spacing w:after="0" w:line="240" w:lineRule="auto"/>
              <w:jc w:val="center"/>
              <w:rPr>
                <w:rFonts w:ascii="Calibri" w:eastAsia="Times New Roman" w:hAnsi="Calibri" w:cs="Times New Roman"/>
                <w:color w:val="2F2F2F"/>
                <w:sz w:val="16"/>
              </w:rPr>
            </w:pPr>
            <w:r w:rsidRPr="00B12FAC">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9E2557" w:rsidRDefault="002D49CD" w:rsidP="009E2557">
            <w:pPr>
              <w:spacing w:after="0" w:line="240" w:lineRule="auto"/>
              <w:jc w:val="center"/>
              <w:rPr>
                <w:rFonts w:ascii="Calibri" w:eastAsia="Times New Roman" w:hAnsi="Calibri" w:cs="Times New Roman"/>
                <w:b/>
                <w:color w:val="000000"/>
                <w:sz w:val="16"/>
              </w:rPr>
            </w:pPr>
            <w:r>
              <w:rPr>
                <w:rFonts w:ascii="Calibri" w:eastAsia="Times New Roman" w:hAnsi="Calibri" w:cs="Times New Roman"/>
                <w:color w:val="000000"/>
                <w:sz w:val="20"/>
                <w:szCs w:val="20"/>
              </w:rPr>
              <w:t>Dirección General de Planeación, Administración y Evaluación de SAGARHPA</w:t>
            </w:r>
          </w:p>
        </w:tc>
      </w:tr>
      <w:tr w:rsidR="00B12FAC" w:rsidRPr="00B12FAC"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FE3426">
              <w:rPr>
                <w:rFonts w:ascii="Calibri" w:eastAsia="Times New Roman" w:hAnsi="Calibri" w:cs="Times New Roman"/>
                <w:color w:val="2F2F2F"/>
                <w:sz w:val="16"/>
              </w:rPr>
              <w:t>c)     El listado de expropiaciones decretadas y ejecutadas que incluya, cuando menos, la fecha de expropiación, el domicilio y la causa de utilidad pública y las ocupaciones superficiales;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2D49CD" w:rsidP="002D49CD">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00B12FAC" w:rsidRPr="00B12FAC">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9E2557" w:rsidRDefault="002D49CD" w:rsidP="002D49CD">
            <w:pPr>
              <w:spacing w:after="0" w:line="240" w:lineRule="auto"/>
              <w:rPr>
                <w:rFonts w:ascii="Calibri" w:eastAsia="Times New Roman" w:hAnsi="Calibri" w:cs="Times New Roman"/>
                <w:b/>
                <w:color w:val="000000"/>
                <w:sz w:val="16"/>
              </w:rPr>
            </w:pPr>
            <w:r>
              <w:rPr>
                <w:rFonts w:ascii="Calibri" w:eastAsia="Times New Roman" w:hAnsi="Calibri" w:cs="Times New Roman"/>
                <w:color w:val="000000"/>
                <w:sz w:val="20"/>
                <w:szCs w:val="20"/>
              </w:rPr>
              <w:t>Dirección General de Planeación, Administración y Evaluación de SAGARHPA</w:t>
            </w:r>
          </w:p>
        </w:tc>
      </w:tr>
      <w:tr w:rsidR="00B12FAC" w:rsidRPr="00B12FAC" w:rsidTr="00393B20">
        <w:trPr>
          <w:trHeight w:val="18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FE3426" w:rsidRDefault="00B12FAC" w:rsidP="00B12FAC">
            <w:pPr>
              <w:spacing w:after="0" w:line="240" w:lineRule="auto"/>
              <w:rPr>
                <w:rFonts w:ascii="Calibri" w:eastAsia="Times New Roman" w:hAnsi="Calibri" w:cs="Times New Roman"/>
                <w:color w:val="2F2F2F"/>
                <w:sz w:val="16"/>
              </w:rPr>
            </w:pPr>
            <w:r w:rsidRPr="00FE3426">
              <w:rPr>
                <w:rFonts w:ascii="Calibri" w:eastAsia="Times New Roman" w:hAnsi="Calibri" w:cs="Times New Roman"/>
                <w:color w:val="2F2F2F"/>
                <w:sz w:val="16"/>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FE3426" w:rsidP="00AF60E7">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N</w:t>
            </w:r>
            <w:r w:rsidR="00AF60E7">
              <w:rPr>
                <w:rFonts w:ascii="Calibri" w:eastAsia="Times New Roman" w:hAnsi="Calibri" w:cs="Times New Roman"/>
                <w:color w:val="2F2F2F"/>
                <w:sz w:val="16"/>
              </w:rPr>
              <w:t>o</w:t>
            </w:r>
            <w:r>
              <w:rPr>
                <w:rFonts w:ascii="Calibri" w:eastAsia="Times New Roman" w:hAnsi="Calibri" w:cs="Times New Roman"/>
                <w:color w:val="2F2F2F"/>
                <w:sz w:val="16"/>
              </w:rPr>
              <w:t xml:space="preserve"> </w:t>
            </w:r>
            <w:r w:rsidR="00B12FAC" w:rsidRPr="00B12FAC">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center"/>
            <w:hideMark/>
          </w:tcPr>
          <w:p w:rsidR="006B4A26" w:rsidRPr="009E2557" w:rsidRDefault="00AF60E7" w:rsidP="00393B20">
            <w:pPr>
              <w:spacing w:after="0" w:line="240" w:lineRule="auto"/>
              <w:rPr>
                <w:rFonts w:ascii="Calibri" w:eastAsia="Times New Roman" w:hAnsi="Calibri" w:cs="Times New Roman"/>
                <w:b/>
                <w:color w:val="000000"/>
                <w:sz w:val="16"/>
              </w:rPr>
            </w:pPr>
            <w:r>
              <w:rPr>
                <w:rFonts w:ascii="Calibri" w:eastAsia="Times New Roman" w:hAnsi="Calibri" w:cs="Times New Roman"/>
                <w:color w:val="000000"/>
                <w:sz w:val="20"/>
                <w:szCs w:val="20"/>
              </w:rPr>
              <w:t>No aplica, toda vez que las facultades de la SAGARHPA se limitan a las establecidas en el Artículo 31 de la Ley Orgánica del Poder Ejecutivo del Estado de Sonora.</w:t>
            </w:r>
          </w:p>
          <w:p w:rsidR="00B12FAC" w:rsidRPr="009E2557" w:rsidRDefault="00B12FAC" w:rsidP="00393B20">
            <w:pPr>
              <w:spacing w:after="0" w:line="240" w:lineRule="auto"/>
              <w:rPr>
                <w:rFonts w:ascii="Calibri" w:eastAsia="Times New Roman" w:hAnsi="Calibri" w:cs="Times New Roman"/>
                <w:b/>
                <w:color w:val="000000"/>
                <w:sz w:val="16"/>
              </w:rPr>
            </w:pPr>
          </w:p>
        </w:tc>
      </w:tr>
      <w:tr w:rsidR="00B12FAC" w:rsidRPr="00B12FAC" w:rsidTr="00393B20">
        <w:trPr>
          <w:trHeight w:val="15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e)    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393B20" w:rsidP="00393B20">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00B12FAC" w:rsidRPr="00B12FAC">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center"/>
            <w:hideMark/>
          </w:tcPr>
          <w:p w:rsidR="006B4A26" w:rsidRPr="009E2557" w:rsidRDefault="00A71351" w:rsidP="00393B20">
            <w:pPr>
              <w:spacing w:after="0" w:line="240" w:lineRule="auto"/>
              <w:rPr>
                <w:rFonts w:ascii="Calibri" w:eastAsia="Times New Roman" w:hAnsi="Calibri" w:cs="Times New Roman"/>
                <w:b/>
                <w:color w:val="000000"/>
                <w:sz w:val="16"/>
              </w:rPr>
            </w:pPr>
            <w:r>
              <w:rPr>
                <w:rFonts w:ascii="Calibri" w:eastAsia="Times New Roman" w:hAnsi="Calibri" w:cs="Times New Roman"/>
                <w:color w:val="000000"/>
                <w:sz w:val="20"/>
                <w:szCs w:val="20"/>
              </w:rPr>
              <w:t>No aplica, toda vez que las facultades de la SAGARHPA se limitan a las establecidas en el Artículo 31 de la Ley Orgánica del Poder Ejecutivo del Estado de Sonora.</w:t>
            </w:r>
          </w:p>
        </w:tc>
      </w:tr>
      <w:tr w:rsidR="00B12FAC" w:rsidRPr="00B12FAC"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f)     La información detallada que contengan los planes de desarrollo urbano, ordenamiento territorial y ecológico, los tipos y usos de suelo, licencias de uso y construcción otorgadas por los gobiernos municipales, y</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393B20" w:rsidP="00393B20">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00B12FAC" w:rsidRPr="00B12FAC">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bottom"/>
            <w:hideMark/>
          </w:tcPr>
          <w:p w:rsidR="006B4A26" w:rsidRPr="009E2557" w:rsidRDefault="00A71351" w:rsidP="00393B20">
            <w:pPr>
              <w:spacing w:after="0" w:line="240" w:lineRule="auto"/>
              <w:jc w:val="center"/>
              <w:rPr>
                <w:rFonts w:ascii="Calibri" w:eastAsia="Times New Roman" w:hAnsi="Calibri" w:cs="Times New Roman"/>
                <w:b/>
                <w:color w:val="000000"/>
                <w:sz w:val="16"/>
              </w:rPr>
            </w:pPr>
            <w:r>
              <w:rPr>
                <w:rFonts w:ascii="Calibri" w:eastAsia="Times New Roman" w:hAnsi="Calibri" w:cs="Times New Roman"/>
                <w:color w:val="000000"/>
                <w:sz w:val="20"/>
                <w:szCs w:val="20"/>
              </w:rPr>
              <w:t>No aplica, toda vez que las facultades de la SAGARHPA se limitan a las establecidas en el Artículo 31 de la Ley Orgánica del Poder Ejecutivo del Estado de Sonora.</w:t>
            </w:r>
            <w:r w:rsidR="00393B20" w:rsidRPr="009E2557">
              <w:rPr>
                <w:rFonts w:ascii="Calibri" w:eastAsia="Times New Roman" w:hAnsi="Calibri" w:cs="Times New Roman"/>
                <w:b/>
                <w:color w:val="000000"/>
                <w:sz w:val="16"/>
              </w:rPr>
              <w:t xml:space="preserve"> </w:t>
            </w:r>
          </w:p>
        </w:tc>
      </w:tr>
      <w:tr w:rsidR="00B12FAC" w:rsidRPr="00B12FAC" w:rsidTr="00BF050A">
        <w:trPr>
          <w:trHeight w:val="21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FE3426" w:rsidRDefault="00B12FAC" w:rsidP="00B12FAC">
            <w:pPr>
              <w:spacing w:after="0" w:line="240" w:lineRule="auto"/>
              <w:rPr>
                <w:rFonts w:ascii="Calibri" w:eastAsia="Times New Roman" w:hAnsi="Calibri" w:cs="Times New Roman"/>
                <w:color w:val="2F2F2F"/>
                <w:sz w:val="16"/>
              </w:rPr>
            </w:pPr>
            <w:r w:rsidRPr="00FE3426">
              <w:rPr>
                <w:rFonts w:ascii="Calibri" w:eastAsia="Times New Roman" w:hAnsi="Calibri" w:cs="Times New Roman"/>
                <w:color w:val="2F2F2F"/>
                <w:sz w:val="16"/>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393B20" w:rsidP="00393B20">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00B12FAC" w:rsidRPr="00B12FAC">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center"/>
            <w:hideMark/>
          </w:tcPr>
          <w:p w:rsidR="006B4A26" w:rsidRPr="00BF050A" w:rsidRDefault="00A71351" w:rsidP="00BF050A">
            <w:pPr>
              <w:spacing w:after="0" w:line="240" w:lineRule="auto"/>
              <w:rPr>
                <w:rFonts w:ascii="Calibri" w:eastAsia="Times New Roman" w:hAnsi="Calibri" w:cs="Times New Roman"/>
                <w:color w:val="2F2F2F"/>
                <w:sz w:val="16"/>
              </w:rPr>
            </w:pPr>
            <w:r w:rsidRPr="00BF050A">
              <w:rPr>
                <w:rFonts w:ascii="Calibri" w:eastAsia="Times New Roman" w:hAnsi="Calibri" w:cs="Times New Roman"/>
                <w:color w:val="2F2F2F"/>
                <w:sz w:val="16"/>
              </w:rPr>
              <w:t>No aplica, toda vez que las facultades de la SAGARHPA se limitan a las establecidas en el Artículo 31 de la Ley Orgánica del Poder Ejecutivo del Estado de Sonora.</w:t>
            </w:r>
          </w:p>
        </w:tc>
      </w:tr>
      <w:tr w:rsidR="00B12FAC" w:rsidRPr="00B12FAC" w:rsidTr="00BF050A">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 Adicionalmente, en el caso de los municipios:</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contenido de las gacetas municipales, las cuales deberán comprender los resolutivos y acuerdos aprobados por los ayuntamientos, y</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393B20" w:rsidP="00393B20">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00B12FAC" w:rsidRPr="00B12FAC">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center"/>
            <w:hideMark/>
          </w:tcPr>
          <w:p w:rsidR="006B4A26" w:rsidRPr="00BF050A" w:rsidRDefault="00A71351" w:rsidP="00BF050A">
            <w:pPr>
              <w:spacing w:after="0" w:line="240" w:lineRule="auto"/>
              <w:rPr>
                <w:rFonts w:ascii="Calibri" w:eastAsia="Times New Roman" w:hAnsi="Calibri" w:cs="Times New Roman"/>
                <w:color w:val="2F2F2F"/>
                <w:sz w:val="16"/>
              </w:rPr>
            </w:pPr>
            <w:r w:rsidRPr="00BF050A">
              <w:rPr>
                <w:rFonts w:ascii="Calibri" w:eastAsia="Times New Roman" w:hAnsi="Calibri" w:cs="Times New Roman"/>
                <w:color w:val="2F2F2F"/>
                <w:sz w:val="16"/>
              </w:rPr>
              <w:t>No aplica, toda vez que las facultades de la SAGARHPA se limitan a las establecidas en el Artículo 31 de la Ley Orgánica del Poder Ejecutivo del Estado de Sonora.</w:t>
            </w:r>
          </w:p>
        </w:tc>
      </w:tr>
      <w:tr w:rsidR="00B12FAC" w:rsidRPr="00B12FAC" w:rsidTr="00BF050A">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w:t>
            </w:r>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b)    Las actas de sesiones de cabildo, los controles de asistencia de los integrantes del Ayuntamiento a las sesiones de cabildo y el sentido de votación de los miembros del cabildo sobre las iniciativas o acuerdos.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BF050A" w:rsidP="00BF050A">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00B12FAC" w:rsidRPr="00B12FAC">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center"/>
            <w:hideMark/>
          </w:tcPr>
          <w:p w:rsidR="00B12FAC" w:rsidRPr="00B12FAC" w:rsidRDefault="00A71351" w:rsidP="00BF050A">
            <w:pPr>
              <w:spacing w:after="0" w:line="240" w:lineRule="auto"/>
              <w:rPr>
                <w:rFonts w:ascii="Calibri" w:eastAsia="Times New Roman" w:hAnsi="Calibri" w:cs="Times New Roman"/>
                <w:color w:val="000000"/>
                <w:sz w:val="16"/>
              </w:rPr>
            </w:pPr>
            <w:r w:rsidRPr="00BF050A">
              <w:rPr>
                <w:rFonts w:ascii="Calibri" w:eastAsia="Times New Roman" w:hAnsi="Calibri" w:cs="Times New Roman"/>
                <w:color w:val="2F2F2F"/>
                <w:sz w:val="16"/>
              </w:rPr>
              <w:t>No aplica, toda vez que las facultades de la SAGARHPA se limitan a las establecidas en el Artículo 31 de la Ley Orgánica del Poder Ejecutivo del Estado de Sonora.</w:t>
            </w:r>
          </w:p>
        </w:tc>
      </w:tr>
    </w:tbl>
    <w:p w:rsidR="00B12FAC" w:rsidRDefault="00B12FAC" w:rsidP="00667E9A">
      <w:pPr>
        <w:spacing w:after="0" w:line="240" w:lineRule="auto"/>
        <w:ind w:left="851"/>
        <w:jc w:val="both"/>
        <w:rPr>
          <w:rFonts w:ascii="Calibri" w:eastAsia="Times New Roman" w:hAnsi="Calibri" w:cs="Times New Roman"/>
          <w:b/>
          <w:bCs/>
          <w:color w:val="60497A"/>
        </w:rPr>
      </w:pPr>
    </w:p>
    <w:sectPr w:rsidR="00B12FAC" w:rsidSect="007F33D8">
      <w:pgSz w:w="15840" w:h="12240"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4">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EE858A1"/>
    <w:multiLevelType w:val="hybridMultilevel"/>
    <w:tmpl w:val="DF7A0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1"/>
  </w:num>
  <w:num w:numId="5">
    <w:abstractNumId w:val="12"/>
  </w:num>
  <w:num w:numId="6">
    <w:abstractNumId w:val="10"/>
  </w:num>
  <w:num w:numId="7">
    <w:abstractNumId w:val="9"/>
  </w:num>
  <w:num w:numId="8">
    <w:abstractNumId w:val="0"/>
  </w:num>
  <w:num w:numId="9">
    <w:abstractNumId w:val="8"/>
  </w:num>
  <w:num w:numId="10">
    <w:abstractNumId w:val="1"/>
  </w:num>
  <w:num w:numId="11">
    <w:abstractNumId w:val="2"/>
  </w:num>
  <w:num w:numId="12">
    <w:abstractNumId w:val="3"/>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EF44D8"/>
    <w:rsid w:val="000060D6"/>
    <w:rsid w:val="00041749"/>
    <w:rsid w:val="00056175"/>
    <w:rsid w:val="000A7B4F"/>
    <w:rsid w:val="000B328D"/>
    <w:rsid w:val="00164E99"/>
    <w:rsid w:val="001C7363"/>
    <w:rsid w:val="001D4947"/>
    <w:rsid w:val="00206736"/>
    <w:rsid w:val="00222986"/>
    <w:rsid w:val="00262C53"/>
    <w:rsid w:val="00264138"/>
    <w:rsid w:val="0028212D"/>
    <w:rsid w:val="002962D2"/>
    <w:rsid w:val="002D2629"/>
    <w:rsid w:val="002D49CD"/>
    <w:rsid w:val="002E4870"/>
    <w:rsid w:val="00305729"/>
    <w:rsid w:val="003153C7"/>
    <w:rsid w:val="003171E0"/>
    <w:rsid w:val="003315C6"/>
    <w:rsid w:val="00387A7D"/>
    <w:rsid w:val="00393B20"/>
    <w:rsid w:val="00402FB8"/>
    <w:rsid w:val="00415002"/>
    <w:rsid w:val="004274E7"/>
    <w:rsid w:val="004B6085"/>
    <w:rsid w:val="00534D62"/>
    <w:rsid w:val="00554264"/>
    <w:rsid w:val="005C1F81"/>
    <w:rsid w:val="005E3AFE"/>
    <w:rsid w:val="00614EB8"/>
    <w:rsid w:val="00667E9A"/>
    <w:rsid w:val="00686F88"/>
    <w:rsid w:val="006B4A26"/>
    <w:rsid w:val="006C2E0C"/>
    <w:rsid w:val="006C7D33"/>
    <w:rsid w:val="006D28AA"/>
    <w:rsid w:val="006E43B3"/>
    <w:rsid w:val="007031F8"/>
    <w:rsid w:val="0071003C"/>
    <w:rsid w:val="00730B2B"/>
    <w:rsid w:val="00734655"/>
    <w:rsid w:val="00744EED"/>
    <w:rsid w:val="007F33D8"/>
    <w:rsid w:val="008070E6"/>
    <w:rsid w:val="00864C64"/>
    <w:rsid w:val="00864E59"/>
    <w:rsid w:val="008C3968"/>
    <w:rsid w:val="008D3747"/>
    <w:rsid w:val="009016E5"/>
    <w:rsid w:val="0091347C"/>
    <w:rsid w:val="00913825"/>
    <w:rsid w:val="0092145E"/>
    <w:rsid w:val="00922E7F"/>
    <w:rsid w:val="00926FAD"/>
    <w:rsid w:val="00951EA4"/>
    <w:rsid w:val="00970527"/>
    <w:rsid w:val="00970893"/>
    <w:rsid w:val="00982F88"/>
    <w:rsid w:val="009901F6"/>
    <w:rsid w:val="009A025C"/>
    <w:rsid w:val="009A3AF4"/>
    <w:rsid w:val="009C25DB"/>
    <w:rsid w:val="009E2557"/>
    <w:rsid w:val="009E405E"/>
    <w:rsid w:val="00A02588"/>
    <w:rsid w:val="00A52B2A"/>
    <w:rsid w:val="00A63C3E"/>
    <w:rsid w:val="00A71351"/>
    <w:rsid w:val="00A94C08"/>
    <w:rsid w:val="00AC0C86"/>
    <w:rsid w:val="00AC7ABA"/>
    <w:rsid w:val="00AD413E"/>
    <w:rsid w:val="00AD574B"/>
    <w:rsid w:val="00AF60E7"/>
    <w:rsid w:val="00B04730"/>
    <w:rsid w:val="00B12FAC"/>
    <w:rsid w:val="00B13B50"/>
    <w:rsid w:val="00B2460F"/>
    <w:rsid w:val="00B351A2"/>
    <w:rsid w:val="00B366FD"/>
    <w:rsid w:val="00B43A8D"/>
    <w:rsid w:val="00B744CC"/>
    <w:rsid w:val="00BA26B3"/>
    <w:rsid w:val="00BA3CD1"/>
    <w:rsid w:val="00BC0E34"/>
    <w:rsid w:val="00BD4E68"/>
    <w:rsid w:val="00BF050A"/>
    <w:rsid w:val="00C6302E"/>
    <w:rsid w:val="00C66099"/>
    <w:rsid w:val="00DA6791"/>
    <w:rsid w:val="00DC6732"/>
    <w:rsid w:val="00E04926"/>
    <w:rsid w:val="00E22E14"/>
    <w:rsid w:val="00E63A15"/>
    <w:rsid w:val="00E91210"/>
    <w:rsid w:val="00EB76C4"/>
    <w:rsid w:val="00EE16DF"/>
    <w:rsid w:val="00EE33B7"/>
    <w:rsid w:val="00EF44D8"/>
    <w:rsid w:val="00F21761"/>
    <w:rsid w:val="00F307FE"/>
    <w:rsid w:val="00F50015"/>
    <w:rsid w:val="00F509A5"/>
    <w:rsid w:val="00F55EA1"/>
    <w:rsid w:val="00F97083"/>
    <w:rsid w:val="00FE3426"/>
    <w:rsid w:val="00FE4A42"/>
    <w:rsid w:val="00FE590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s>
</file>

<file path=word/webSettings.xml><?xml version="1.0" encoding="utf-8"?>
<w:webSettings xmlns:r="http://schemas.openxmlformats.org/officeDocument/2006/relationships" xmlns:w="http://schemas.openxmlformats.org/wordprocessingml/2006/main">
  <w:divs>
    <w:div w:id="253249852">
      <w:bodyDiv w:val="1"/>
      <w:marLeft w:val="0"/>
      <w:marRight w:val="0"/>
      <w:marTop w:val="0"/>
      <w:marBottom w:val="0"/>
      <w:divBdr>
        <w:top w:val="none" w:sz="0" w:space="0" w:color="auto"/>
        <w:left w:val="none" w:sz="0" w:space="0" w:color="auto"/>
        <w:bottom w:val="none" w:sz="0" w:space="0" w:color="auto"/>
        <w:right w:val="none" w:sz="0" w:space="0" w:color="auto"/>
      </w:divBdr>
    </w:div>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1D903-9CE9-4651-A414-D5701229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3678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Leticia Lopez</cp:lastModifiedBy>
  <cp:revision>2</cp:revision>
  <cp:lastPrinted>2016-06-16T20:38:00Z</cp:lastPrinted>
  <dcterms:created xsi:type="dcterms:W3CDTF">2018-01-09T19:32:00Z</dcterms:created>
  <dcterms:modified xsi:type="dcterms:W3CDTF">2018-01-09T19:32:00Z</dcterms:modified>
</cp:coreProperties>
</file>