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FE" w:rsidRDefault="00926FAD" w:rsidP="00922E7F">
      <w:pPr>
        <w:spacing w:after="0" w:line="240" w:lineRule="auto"/>
        <w:ind w:left="851"/>
        <w:jc w:val="center"/>
        <w:rPr>
          <w:rFonts w:ascii="Calibri" w:eastAsia="Times New Roman" w:hAnsi="Calibri" w:cs="Times New Roman"/>
          <w:b/>
          <w:bCs/>
          <w:color w:val="60497A"/>
          <w:sz w:val="28"/>
          <w:szCs w:val="28"/>
        </w:rPr>
      </w:pPr>
      <w:r w:rsidRPr="00922E7F">
        <w:rPr>
          <w:rFonts w:ascii="Calibri" w:eastAsia="Times New Roman" w:hAnsi="Calibri" w:cs="Times New Roman"/>
          <w:b/>
          <w:bCs/>
          <w:color w:val="60497A"/>
          <w:sz w:val="28"/>
          <w:szCs w:val="28"/>
        </w:rPr>
        <w:t xml:space="preserve">Tabla de aplicabilidad de las Obligaciones de transparencia </w:t>
      </w:r>
      <w:r w:rsidR="00B12FAC">
        <w:rPr>
          <w:rFonts w:ascii="Calibri" w:eastAsia="Times New Roman" w:hAnsi="Calibri" w:cs="Times New Roman"/>
          <w:b/>
          <w:bCs/>
          <w:color w:val="60497A"/>
          <w:sz w:val="28"/>
          <w:szCs w:val="28"/>
        </w:rPr>
        <w:t>específicas del Poder Ejecutivo</w:t>
      </w:r>
      <w:r w:rsidR="0091347C">
        <w:rPr>
          <w:rFonts w:ascii="Calibri" w:eastAsia="Times New Roman" w:hAnsi="Calibri" w:cs="Times New Roman"/>
          <w:b/>
          <w:bCs/>
          <w:color w:val="60497A"/>
          <w:sz w:val="28"/>
          <w:szCs w:val="28"/>
        </w:rPr>
        <w:t xml:space="preserve"> </w:t>
      </w:r>
    </w:p>
    <w:p w:rsidR="00EB76C4" w:rsidRPr="00922E7F" w:rsidRDefault="00957BFE" w:rsidP="00922E7F">
      <w:pPr>
        <w:spacing w:after="0" w:line="240" w:lineRule="auto"/>
        <w:ind w:left="851"/>
        <w:jc w:val="center"/>
        <w:rPr>
          <w:rFonts w:ascii="Calibri" w:eastAsia="Times New Roman" w:hAnsi="Calibri" w:cs="Times New Roman"/>
          <w:b/>
          <w:bCs/>
          <w:color w:val="60497A"/>
          <w:sz w:val="28"/>
          <w:szCs w:val="28"/>
        </w:rPr>
      </w:pPr>
      <w:r>
        <w:rPr>
          <w:rFonts w:ascii="Calibri" w:eastAsia="Times New Roman" w:hAnsi="Calibri" w:cs="Times New Roman"/>
          <w:b/>
          <w:bCs/>
          <w:color w:val="60497A"/>
          <w:sz w:val="28"/>
          <w:szCs w:val="28"/>
        </w:rPr>
        <w:t>Secretaría de la Contraloría General</w:t>
      </w:r>
    </w:p>
    <w:p w:rsidR="00554264" w:rsidRDefault="00554264" w:rsidP="00667E9A">
      <w:pPr>
        <w:spacing w:after="0" w:line="240" w:lineRule="auto"/>
        <w:ind w:left="851"/>
        <w:jc w:val="both"/>
        <w:rPr>
          <w:i/>
        </w:rPr>
      </w:pPr>
    </w:p>
    <w:p w:rsidR="00667E9A" w:rsidRDefault="00667E9A" w:rsidP="00667E9A">
      <w:pPr>
        <w:spacing w:after="0" w:line="240" w:lineRule="auto"/>
        <w:ind w:left="851"/>
        <w:jc w:val="both"/>
        <w:rPr>
          <w:rFonts w:ascii="Calibri" w:eastAsia="Times New Roman" w:hAnsi="Calibri" w:cs="Times New Roman"/>
          <w:b/>
          <w:bCs/>
          <w:color w:val="60497A"/>
        </w:rPr>
      </w:pPr>
      <w:r w:rsidRPr="00554264">
        <w:rPr>
          <w:rFonts w:ascii="Calibri" w:eastAsia="Times New Roman" w:hAnsi="Calibri" w:cs="Times New Roman"/>
          <w:b/>
          <w:bCs/>
          <w:i/>
          <w:color w:val="60497A"/>
          <w:sz w:val="24"/>
          <w:szCs w:val="24"/>
        </w:rPr>
        <w:t>Artículo 7</w:t>
      </w:r>
      <w:r w:rsidR="00B12FAC">
        <w:rPr>
          <w:rFonts w:ascii="Calibri" w:eastAsia="Times New Roman" w:hAnsi="Calibri" w:cs="Times New Roman"/>
          <w:b/>
          <w:bCs/>
          <w:i/>
          <w:color w:val="60497A"/>
          <w:sz w:val="24"/>
          <w:szCs w:val="24"/>
        </w:rPr>
        <w:t>1</w:t>
      </w:r>
      <w:r w:rsidRPr="00554264">
        <w:rPr>
          <w:rFonts w:ascii="Calibri" w:eastAsia="Times New Roman" w:hAnsi="Calibri" w:cs="Times New Roman"/>
          <w:b/>
          <w:bCs/>
          <w:i/>
          <w:color w:val="60497A"/>
          <w:sz w:val="24"/>
          <w:szCs w:val="24"/>
        </w:rPr>
        <w:t>.</w:t>
      </w:r>
      <w:r>
        <w:rPr>
          <w:i/>
        </w:rPr>
        <w:t xml:space="preserve"> </w:t>
      </w:r>
      <w:r w:rsidR="00B12FAC" w:rsidRPr="00B12FAC">
        <w:rPr>
          <w:i/>
        </w:rPr>
        <w:t>Además de lo señalado en el artículo anterior de la presente Ley, los sujetos obligados de los Poderes Ejecutivos Federal, de las Entidades Federativas y municipales, deberán poner a disposición del público y actu</w:t>
      </w:r>
      <w:r w:rsidR="00B12FAC">
        <w:rPr>
          <w:i/>
        </w:rPr>
        <w:t>alizar la siguiente información</w:t>
      </w:r>
      <w:r w:rsidRPr="00667E9A">
        <w:rPr>
          <w:i/>
        </w:rPr>
        <w:t>:</w:t>
      </w:r>
      <w:r w:rsidRPr="00BC0E34">
        <w:rPr>
          <w:rFonts w:ascii="Calibri" w:eastAsia="Times New Roman" w:hAnsi="Calibri" w:cs="Times New Roman"/>
          <w:b/>
          <w:bCs/>
          <w:color w:val="60497A"/>
        </w:rPr>
        <w:t xml:space="preserve"> </w:t>
      </w:r>
    </w:p>
    <w:p w:rsidR="00B12FAC" w:rsidRDefault="00B12FAC" w:rsidP="00667E9A">
      <w:pPr>
        <w:spacing w:after="0" w:line="240" w:lineRule="auto"/>
        <w:ind w:left="851"/>
        <w:jc w:val="both"/>
        <w:rPr>
          <w:rFonts w:ascii="Calibri" w:eastAsia="Times New Roman" w:hAnsi="Calibri" w:cs="Times New Roman"/>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855"/>
        <w:gridCol w:w="1004"/>
        <w:gridCol w:w="2009"/>
        <w:gridCol w:w="1861"/>
        <w:gridCol w:w="2153"/>
        <w:gridCol w:w="2866"/>
        <w:gridCol w:w="2398"/>
      </w:tblGrid>
      <w:tr w:rsidR="00206736" w:rsidRPr="00B12FAC" w:rsidTr="00206736">
        <w:trPr>
          <w:trHeight w:val="765"/>
          <w:tblHeader/>
          <w:jc w:val="center"/>
        </w:trPr>
        <w:tc>
          <w:tcPr>
            <w:tcW w:w="325"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Orden de gobierno</w:t>
            </w:r>
          </w:p>
        </w:tc>
        <w:tc>
          <w:tcPr>
            <w:tcW w:w="382"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Poder de gobierno o ámbito al que pertenece</w:t>
            </w:r>
          </w:p>
        </w:tc>
        <w:tc>
          <w:tcPr>
            <w:tcW w:w="764"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Tipo de sujeto obligado</w:t>
            </w:r>
          </w:p>
        </w:tc>
        <w:tc>
          <w:tcPr>
            <w:tcW w:w="3529" w:type="pct"/>
            <w:gridSpan w:val="4"/>
            <w:tcBorders>
              <w:top w:val="dotted" w:sz="4" w:space="0" w:color="auto"/>
              <w:left w:val="nil"/>
              <w:bottom w:val="dotted" w:sz="4" w:space="0" w:color="auto"/>
              <w:right w:val="dotted" w:sz="4" w:space="0" w:color="auto"/>
            </w:tcBorders>
            <w:shd w:val="clear" w:color="000000" w:fill="60497A"/>
            <w:vAlign w:val="center"/>
            <w:hideMark/>
          </w:tcPr>
          <w:p w:rsidR="00206736" w:rsidRPr="00B12FAC" w:rsidRDefault="00206736"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LGTAIP</w:t>
            </w:r>
          </w:p>
        </w:tc>
      </w:tr>
      <w:tr w:rsidR="00B12FAC" w:rsidRPr="00B12FAC" w:rsidTr="00B12FAC">
        <w:trPr>
          <w:trHeight w:val="745"/>
          <w:tblHeader/>
          <w:jc w:val="center"/>
        </w:trPr>
        <w:tc>
          <w:tcPr>
            <w:tcW w:w="325"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382"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64"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08"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Fracción</w:t>
            </w:r>
          </w:p>
        </w:tc>
        <w:tc>
          <w:tcPr>
            <w:tcW w:w="819"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inciso</w:t>
            </w:r>
          </w:p>
        </w:tc>
        <w:tc>
          <w:tcPr>
            <w:tcW w:w="1090"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Aplicabilidad</w:t>
            </w:r>
          </w:p>
        </w:tc>
        <w:tc>
          <w:tcPr>
            <w:tcW w:w="912"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Área(s) o unidad(es) administrativa(s) genera(n) o posee(n) la información</w:t>
            </w:r>
          </w:p>
        </w:tc>
      </w:tr>
      <w:tr w:rsidR="00B12FAC" w:rsidRPr="00B12FAC" w:rsidTr="00B12FAC">
        <w:trPr>
          <w:trHeight w:val="2700"/>
          <w:jc w:val="center"/>
        </w:trPr>
        <w:tc>
          <w:tcPr>
            <w:tcW w:w="325"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Federal</w:t>
            </w:r>
          </w:p>
        </w:tc>
        <w:tc>
          <w:tcPr>
            <w:tcW w:w="382"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Poder Ejecutivo</w:t>
            </w:r>
          </w:p>
        </w:tc>
        <w:tc>
          <w:tcPr>
            <w:tcW w:w="764" w:type="pct"/>
            <w:vMerge w:val="restart"/>
            <w:tcBorders>
              <w:top w:val="nil"/>
              <w:left w:val="dotted" w:sz="4" w:space="0" w:color="auto"/>
              <w:bottom w:val="dotted" w:sz="4" w:space="0" w:color="auto"/>
              <w:right w:val="dotted" w:sz="4" w:space="0" w:color="auto"/>
            </w:tcBorders>
            <w:shd w:val="clear" w:color="auto" w:fill="auto"/>
            <w:vAlign w:val="center"/>
            <w:hideMark/>
          </w:tcPr>
          <w:p w:rsidR="00206736" w:rsidRDefault="00B12FAC" w:rsidP="00206736">
            <w:pPr>
              <w:pStyle w:val="ListParagraph"/>
              <w:numPr>
                <w:ilvl w:val="0"/>
                <w:numId w:val="14"/>
              </w:numPr>
              <w:spacing w:after="0" w:line="360" w:lineRule="auto"/>
              <w:ind w:left="268" w:hanging="142"/>
              <w:rPr>
                <w:rFonts w:ascii="Calibri" w:eastAsia="Times New Roman" w:hAnsi="Calibri" w:cs="Times New Roman"/>
                <w:color w:val="000000"/>
                <w:sz w:val="16"/>
              </w:rPr>
            </w:pPr>
            <w:r w:rsidRPr="00206736">
              <w:rPr>
                <w:rFonts w:ascii="Calibri" w:eastAsia="Times New Roman" w:hAnsi="Calibri" w:cs="Times New Roman"/>
                <w:color w:val="000000"/>
                <w:sz w:val="16"/>
              </w:rPr>
              <w:t xml:space="preserve"> </w:t>
            </w:r>
            <w:proofErr w:type="spellStart"/>
            <w:r w:rsidRPr="00206736">
              <w:rPr>
                <w:rFonts w:ascii="Calibri" w:eastAsia="Times New Roman" w:hAnsi="Calibri" w:cs="Times New Roman"/>
                <w:color w:val="000000"/>
                <w:sz w:val="16"/>
              </w:rPr>
              <w:t>Administración</w:t>
            </w:r>
            <w:proofErr w:type="spellEnd"/>
            <w:r w:rsidRPr="00206736">
              <w:rPr>
                <w:rFonts w:ascii="Calibri" w:eastAsia="Times New Roman" w:hAnsi="Calibri" w:cs="Times New Roman"/>
                <w:color w:val="000000"/>
                <w:sz w:val="16"/>
              </w:rPr>
              <w:t xml:space="preserve"> </w:t>
            </w:r>
            <w:proofErr w:type="spellStart"/>
            <w:r w:rsidRPr="00206736">
              <w:rPr>
                <w:rFonts w:ascii="Calibri" w:eastAsia="Times New Roman" w:hAnsi="Calibri" w:cs="Times New Roman"/>
                <w:color w:val="000000"/>
                <w:sz w:val="16"/>
              </w:rPr>
              <w:t>Centralizada</w:t>
            </w:r>
            <w:proofErr w:type="spellEnd"/>
          </w:p>
          <w:p w:rsidR="00B12FAC" w:rsidRPr="00957BFE" w:rsidRDefault="00B12FAC" w:rsidP="00957BFE">
            <w:pPr>
              <w:spacing w:after="0" w:line="360" w:lineRule="auto"/>
              <w:ind w:left="126"/>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 En el caso del Poder Ejecutivo Federal, los poderes ejecutivos de las Entidades Federativas, el Órgano Ejecutivo del Distrito Federal y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Plan Nacional de Desarrollo, los planes estatales de desarrollo o el Programa General de Desarrollo del Distrito Federal, según corresponda;</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B12FAC" w:rsidP="00957BFE">
            <w:pPr>
              <w:spacing w:after="0" w:line="240" w:lineRule="auto"/>
              <w:jc w:val="center"/>
              <w:rPr>
                <w:rFonts w:ascii="Calibri" w:eastAsia="Times New Roman" w:hAnsi="Calibri" w:cs="Times New Roman"/>
                <w:color w:val="2F2F2F"/>
                <w:sz w:val="16"/>
              </w:rPr>
            </w:pPr>
            <w:r w:rsidRPr="00B12FAC">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F46A52">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r w:rsidR="00F46A52">
              <w:rPr>
                <w:rFonts w:ascii="Calibri" w:eastAsia="Times New Roman" w:hAnsi="Calibri" w:cs="Times New Roman"/>
                <w:color w:val="000000"/>
                <w:sz w:val="16"/>
              </w:rPr>
              <w:t>Dirección General de Asuntos Jurídicos y Normatividad</w:t>
            </w:r>
          </w:p>
        </w:tc>
      </w:tr>
      <w:tr w:rsidR="00B12FAC" w:rsidRPr="00B12FAC" w:rsidTr="00B12FAC">
        <w:trPr>
          <w:trHeight w:val="6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F46A52"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bCs/>
                <w:sz w:val="20"/>
                <w:szCs w:val="20"/>
              </w:rPr>
              <w:t>Aplica</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F46A52">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r w:rsidR="00F46A52">
              <w:rPr>
                <w:rFonts w:ascii="Calibri" w:eastAsia="Times New Roman" w:hAnsi="Calibri" w:cs="Times New Roman"/>
                <w:color w:val="000000"/>
                <w:sz w:val="16"/>
              </w:rPr>
              <w:t>Dirección General de Administración y Control Presupuestal</w:t>
            </w:r>
          </w:p>
        </w:tc>
      </w:tr>
      <w:tr w:rsidR="00F46A52" w:rsidRPr="00B12FAC" w:rsidTr="00F46A52">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c)     El listado de expropiaciones decretadas y ejecutadas que incluya, cuando menos, la fecha de expropiación, el domicilio y la causa de utilidad pública y las ocupaciones superficiales;</w:t>
            </w:r>
          </w:p>
        </w:tc>
        <w:tc>
          <w:tcPr>
            <w:tcW w:w="2002" w:type="pct"/>
            <w:gridSpan w:val="2"/>
            <w:vMerge w:val="restart"/>
            <w:tcBorders>
              <w:top w:val="nil"/>
              <w:left w:val="nil"/>
              <w:right w:val="dotted" w:sz="4" w:space="0" w:color="auto"/>
            </w:tcBorders>
            <w:shd w:val="clear" w:color="auto" w:fill="auto"/>
            <w:noWrap/>
            <w:vAlign w:val="center"/>
          </w:tcPr>
          <w:p w:rsidR="00F46A52" w:rsidRPr="00B12FAC" w:rsidRDefault="00F46A52"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p w:rsidR="00F46A52" w:rsidRPr="00F46A52" w:rsidRDefault="00F46A52" w:rsidP="00F46A52">
            <w:pPr>
              <w:spacing w:after="0" w:line="240" w:lineRule="auto"/>
              <w:rPr>
                <w:rFonts w:ascii="Calibri" w:eastAsia="Times New Roman" w:hAnsi="Calibri" w:cs="Times New Roman"/>
                <w:b/>
                <w:color w:val="000000"/>
                <w:sz w:val="16"/>
              </w:rPr>
            </w:pPr>
            <w:r w:rsidRPr="00B12FAC">
              <w:rPr>
                <w:rFonts w:ascii="Calibri" w:eastAsia="Times New Roman" w:hAnsi="Calibri" w:cs="Times New Roman"/>
                <w:color w:val="000000"/>
                <w:sz w:val="16"/>
              </w:rPr>
              <w:t> </w:t>
            </w:r>
            <w:r w:rsidRPr="00F46A52">
              <w:rPr>
                <w:rFonts w:ascii="Calibri" w:eastAsia="Times New Roman" w:hAnsi="Calibri" w:cs="Times New Roman"/>
                <w:b/>
                <w:color w:val="000000"/>
                <w:sz w:val="16"/>
              </w:rPr>
              <w:t>NO APLICABLE</w:t>
            </w:r>
          </w:p>
          <w:p w:rsidR="00F46A52" w:rsidRDefault="00F46A52" w:rsidP="00F46A52">
            <w:pPr>
              <w:pStyle w:val="Default"/>
              <w:jc w:val="both"/>
              <w:rPr>
                <w:rFonts w:asciiTheme="minorHAnsi" w:hAnsiTheme="minorHAnsi" w:cstheme="minorHAnsi"/>
                <w:sz w:val="20"/>
                <w:szCs w:val="20"/>
              </w:rPr>
            </w:pPr>
            <w:r w:rsidRPr="00B12FAC">
              <w:rPr>
                <w:rFonts w:ascii="Calibri" w:eastAsia="Times New Roman" w:hAnsi="Calibri" w:cs="Times New Roman"/>
                <w:sz w:val="16"/>
              </w:rPr>
              <w:t> </w:t>
            </w:r>
          </w:p>
          <w:p w:rsidR="00F46A52" w:rsidRPr="00680854" w:rsidRDefault="00F46A52" w:rsidP="00F46A52">
            <w:pPr>
              <w:spacing w:after="0"/>
              <w:jc w:val="both"/>
              <w:rPr>
                <w:rFonts w:cstheme="minorHAnsi"/>
                <w:sz w:val="20"/>
                <w:szCs w:val="20"/>
              </w:rPr>
            </w:pPr>
            <w:r w:rsidRPr="00680854">
              <w:rPr>
                <w:rFonts w:cstheme="minorHAnsi"/>
                <w:sz w:val="20"/>
                <w:szCs w:val="20"/>
              </w:rPr>
              <w:t xml:space="preserve">Por lo establecido en el Artículo 26 de la Ley Orgánica del Poder Ejecutivo, A la Secretaria de la Contraloría General le </w:t>
            </w:r>
            <w:r w:rsidRPr="00680854">
              <w:rPr>
                <w:rFonts w:cstheme="minorHAnsi"/>
                <w:sz w:val="20"/>
                <w:szCs w:val="20"/>
              </w:rPr>
              <w:lastRenderedPageBreak/>
              <w:t>corresponden las facultades y obligaciones en las materias siguientes:</w:t>
            </w:r>
          </w:p>
          <w:p w:rsidR="00F46A52" w:rsidRPr="00680854" w:rsidRDefault="00F46A52" w:rsidP="00F46A52">
            <w:pPr>
              <w:spacing w:after="0"/>
              <w:jc w:val="both"/>
              <w:rPr>
                <w:rFonts w:cstheme="minorHAnsi"/>
                <w:sz w:val="20"/>
                <w:szCs w:val="20"/>
              </w:rPr>
            </w:pPr>
            <w:r w:rsidRPr="00680854">
              <w:rPr>
                <w:rFonts w:cstheme="minorHAnsi"/>
                <w:sz w:val="20"/>
                <w:szCs w:val="20"/>
              </w:rPr>
              <w:t>A. En materia de control y desarrollo administrativo</w:t>
            </w:r>
          </w:p>
          <w:p w:rsidR="00F46A52" w:rsidRPr="00680854" w:rsidRDefault="00F46A52" w:rsidP="00F46A52">
            <w:pPr>
              <w:spacing w:after="0"/>
              <w:jc w:val="both"/>
              <w:rPr>
                <w:rFonts w:cstheme="minorHAnsi"/>
                <w:sz w:val="20"/>
                <w:szCs w:val="20"/>
              </w:rPr>
            </w:pPr>
            <w:r w:rsidRPr="00680854">
              <w:rPr>
                <w:rFonts w:cstheme="minorHAnsi"/>
                <w:sz w:val="20"/>
                <w:szCs w:val="20"/>
              </w:rPr>
              <w:t>B. En materia de desarrollo administrativo</w:t>
            </w:r>
          </w:p>
          <w:p w:rsidR="00F46A52" w:rsidRPr="00680854" w:rsidRDefault="00F46A52" w:rsidP="00F46A52">
            <w:pPr>
              <w:spacing w:after="0"/>
              <w:jc w:val="both"/>
              <w:rPr>
                <w:rFonts w:cstheme="minorHAnsi"/>
                <w:sz w:val="20"/>
                <w:szCs w:val="20"/>
              </w:rPr>
            </w:pPr>
            <w:r w:rsidRPr="00680854">
              <w:rPr>
                <w:rFonts w:cstheme="minorHAnsi"/>
                <w:sz w:val="20"/>
                <w:szCs w:val="20"/>
              </w:rPr>
              <w:t>C. En materia de control gubernamental</w:t>
            </w:r>
          </w:p>
          <w:p w:rsidR="00F46A52" w:rsidRPr="00680854" w:rsidRDefault="00F46A52" w:rsidP="00F46A52">
            <w:pPr>
              <w:spacing w:after="0"/>
              <w:jc w:val="both"/>
              <w:rPr>
                <w:rFonts w:cstheme="minorHAnsi"/>
                <w:sz w:val="20"/>
                <w:szCs w:val="20"/>
              </w:rPr>
            </w:pPr>
            <w:r w:rsidRPr="00680854">
              <w:rPr>
                <w:rFonts w:cstheme="minorHAnsi"/>
                <w:sz w:val="20"/>
                <w:szCs w:val="20"/>
              </w:rPr>
              <w:t>D. En materia de participación social y vinculación</w:t>
            </w:r>
          </w:p>
          <w:p w:rsidR="00F46A52" w:rsidRPr="00680854" w:rsidRDefault="00F46A52" w:rsidP="00F46A52">
            <w:pPr>
              <w:spacing w:after="0"/>
              <w:jc w:val="both"/>
              <w:rPr>
                <w:rFonts w:cstheme="minorHAnsi"/>
                <w:sz w:val="20"/>
                <w:szCs w:val="20"/>
              </w:rPr>
            </w:pPr>
            <w:r w:rsidRPr="00680854">
              <w:rPr>
                <w:rFonts w:cstheme="minorHAnsi"/>
                <w:sz w:val="20"/>
                <w:szCs w:val="20"/>
              </w:rPr>
              <w:t>E. En materia de transparencia y combate a la corrupción</w:t>
            </w:r>
          </w:p>
          <w:p w:rsidR="00F46A52" w:rsidRPr="00680854" w:rsidRDefault="00F46A52" w:rsidP="00F46A52">
            <w:pPr>
              <w:jc w:val="both"/>
              <w:rPr>
                <w:rFonts w:cstheme="minorHAnsi"/>
                <w:sz w:val="20"/>
                <w:szCs w:val="20"/>
              </w:rPr>
            </w:pPr>
          </w:p>
          <w:p w:rsidR="00F46A52" w:rsidRPr="00680854" w:rsidRDefault="00F46A52" w:rsidP="00F46A52">
            <w:pPr>
              <w:autoSpaceDE w:val="0"/>
              <w:autoSpaceDN w:val="0"/>
              <w:adjustRightInd w:val="0"/>
              <w:spacing w:after="0" w:line="240" w:lineRule="auto"/>
              <w:jc w:val="both"/>
              <w:rPr>
                <w:rFonts w:cstheme="minorHAnsi"/>
                <w:sz w:val="20"/>
                <w:szCs w:val="20"/>
              </w:rPr>
            </w:pPr>
            <w:r w:rsidRPr="00680854">
              <w:rPr>
                <w:rFonts w:cstheme="minorHAnsi"/>
                <w:sz w:val="20"/>
                <w:szCs w:val="20"/>
              </w:rPr>
              <w:t>De la propia ley orgánica citada con anterioridad, se desprende que la Secretaría de la Contraloría General lleva a cabo en materia de control y desarrollo administrativo la instrumentación, evaluación y desarrollo de procedimientos de control administrativos en la administración pública estatal, asimismo lleva a cabo auditorías en materia de control gubernamental para examinar y verificar el  ejercicio del gasto público, igualmente en materia de participación social y vinculación desarrolla a través de esquemas de contraloría social con grupos de la sociedad interesados en participar dentro de un marco de corresponsabilidad, la planeación, control y evaluación de las acciones y programas del Gobierno del Estado, extendiendo su cobertura al ámbito municipal, por último, en materia de transparencia y combate a la corrupción, busca la vinculación entre gobierno-sociedad para fomentar una cultura de la transparencia y un seguimiento oportuno a los actos u omisiones que puedan constituir una responsabilidad administrativa.</w:t>
            </w:r>
          </w:p>
          <w:p w:rsidR="00F46A52" w:rsidRPr="00680854" w:rsidRDefault="00F46A52" w:rsidP="00F46A52">
            <w:pPr>
              <w:jc w:val="both"/>
              <w:rPr>
                <w:rFonts w:cstheme="minorHAnsi"/>
                <w:sz w:val="20"/>
                <w:szCs w:val="20"/>
              </w:rPr>
            </w:pPr>
          </w:p>
          <w:p w:rsidR="00F46A52" w:rsidRPr="00680854" w:rsidRDefault="00F46A52" w:rsidP="00F46A52">
            <w:pPr>
              <w:pStyle w:val="Default"/>
              <w:jc w:val="both"/>
              <w:rPr>
                <w:rFonts w:asciiTheme="minorHAnsi" w:hAnsiTheme="minorHAnsi" w:cstheme="minorHAnsi"/>
                <w:sz w:val="20"/>
                <w:szCs w:val="20"/>
              </w:rPr>
            </w:pPr>
            <w:r w:rsidRPr="00680854">
              <w:rPr>
                <w:rFonts w:asciiTheme="minorHAnsi" w:hAnsiTheme="minorHAnsi" w:cstheme="minorHAnsi"/>
                <w:sz w:val="20"/>
                <w:szCs w:val="20"/>
              </w:rPr>
              <w:t>De igual forma, el Reglamento interior de la Secretaría de la Contraloría General, en su artículo 1, establece el objeto de la dependencia: “A la Secretaría de la Contraloría General, como dependencia directa de la Administración Pública Estatal, le corresponde el despacho y coordinación de los asuntos que en materia de control y desarrollo administrativo, control gubernamental, participación social, vinculación, transparencia y combate a la corrupción, que le confieren la Ley Orgánica del Poder Ejecutivo del Estado de Sonora..”</w:t>
            </w:r>
          </w:p>
          <w:p w:rsidR="00F46A52" w:rsidRPr="00680854" w:rsidRDefault="00F46A52" w:rsidP="00F46A52">
            <w:pPr>
              <w:pStyle w:val="Default"/>
              <w:jc w:val="both"/>
              <w:rPr>
                <w:rFonts w:asciiTheme="minorHAnsi" w:hAnsiTheme="minorHAnsi" w:cstheme="minorHAnsi"/>
                <w:sz w:val="20"/>
                <w:szCs w:val="20"/>
              </w:rPr>
            </w:pPr>
          </w:p>
          <w:p w:rsidR="00F46A52" w:rsidRPr="00680854" w:rsidRDefault="00F46A52" w:rsidP="00F46A52">
            <w:pPr>
              <w:pStyle w:val="Default"/>
              <w:jc w:val="both"/>
              <w:rPr>
                <w:rFonts w:asciiTheme="minorHAnsi" w:hAnsiTheme="minorHAnsi" w:cstheme="minorHAnsi"/>
                <w:bCs/>
                <w:sz w:val="20"/>
                <w:szCs w:val="20"/>
              </w:rPr>
            </w:pPr>
            <w:r w:rsidRPr="00680854">
              <w:rPr>
                <w:rFonts w:asciiTheme="minorHAnsi" w:hAnsiTheme="minorHAnsi" w:cstheme="minorHAnsi"/>
                <w:sz w:val="20"/>
                <w:szCs w:val="20"/>
              </w:rPr>
              <w:t xml:space="preserve">De lo anterior, se concluye que la Secretaría de la Contraloría General atendiendo exclusivamente a las atribuciones que le </w:t>
            </w:r>
            <w:proofErr w:type="gramStart"/>
            <w:r w:rsidRPr="00680854">
              <w:rPr>
                <w:rFonts w:asciiTheme="minorHAnsi" w:hAnsiTheme="minorHAnsi" w:cstheme="minorHAnsi"/>
                <w:sz w:val="20"/>
                <w:szCs w:val="20"/>
              </w:rPr>
              <w:t>confiere</w:t>
            </w:r>
            <w:proofErr w:type="gramEnd"/>
            <w:r w:rsidRPr="00680854">
              <w:rPr>
                <w:rFonts w:asciiTheme="minorHAnsi" w:hAnsiTheme="minorHAnsi" w:cstheme="minorHAnsi"/>
                <w:sz w:val="20"/>
                <w:szCs w:val="20"/>
              </w:rPr>
              <w:t xml:space="preserve"> la Ley Orgánica del Poder Ejecutivo y su propio Reglamento Interior, </w:t>
            </w:r>
            <w:r w:rsidRPr="00680854">
              <w:rPr>
                <w:rFonts w:asciiTheme="minorHAnsi" w:hAnsiTheme="minorHAnsi" w:cstheme="minorHAnsi"/>
                <w:b/>
                <w:sz w:val="20"/>
                <w:szCs w:val="20"/>
                <w:u w:val="single"/>
              </w:rPr>
              <w:t xml:space="preserve">NO </w:t>
            </w:r>
            <w:r>
              <w:rPr>
                <w:rFonts w:asciiTheme="minorHAnsi" w:hAnsiTheme="minorHAnsi" w:cstheme="minorHAnsi"/>
                <w:b/>
                <w:sz w:val="20"/>
                <w:szCs w:val="20"/>
                <w:u w:val="single"/>
              </w:rPr>
              <w:t>le corresponde informar sobre lo que establecen las presentes fracciones del artículo 71 de la Ley General de Transparencia y Acceso a la Información Pública.</w:t>
            </w:r>
          </w:p>
          <w:p w:rsidR="00F46A52" w:rsidRPr="00B12FAC" w:rsidRDefault="00F46A52" w:rsidP="00B12FAC">
            <w:pPr>
              <w:spacing w:after="0" w:line="240" w:lineRule="auto"/>
              <w:rPr>
                <w:rFonts w:ascii="Calibri" w:eastAsia="Times New Roman" w:hAnsi="Calibri" w:cs="Times New Roman"/>
                <w:color w:val="000000"/>
                <w:sz w:val="16"/>
              </w:rPr>
            </w:pPr>
          </w:p>
          <w:p w:rsidR="00F46A52" w:rsidRPr="00B12FAC" w:rsidRDefault="00F46A52"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F46A52" w:rsidRPr="00B12FAC" w:rsidTr="00F46A52">
        <w:trPr>
          <w:trHeight w:val="1800"/>
          <w:jc w:val="center"/>
        </w:trPr>
        <w:tc>
          <w:tcPr>
            <w:tcW w:w="325"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2002" w:type="pct"/>
            <w:gridSpan w:val="2"/>
            <w:vMerge/>
            <w:tcBorders>
              <w:left w:val="nil"/>
              <w:right w:val="dotted" w:sz="4" w:space="0" w:color="auto"/>
            </w:tcBorders>
            <w:shd w:val="clear" w:color="auto" w:fill="auto"/>
            <w:noWrap/>
            <w:vAlign w:val="center"/>
          </w:tcPr>
          <w:p w:rsidR="00F46A52" w:rsidRPr="00B12FAC" w:rsidRDefault="00F46A52" w:rsidP="00B12FAC">
            <w:pPr>
              <w:spacing w:after="0" w:line="240" w:lineRule="auto"/>
              <w:rPr>
                <w:rFonts w:ascii="Calibri" w:eastAsia="Times New Roman" w:hAnsi="Calibri" w:cs="Times New Roman"/>
                <w:color w:val="000000"/>
                <w:sz w:val="16"/>
              </w:rPr>
            </w:pPr>
          </w:p>
        </w:tc>
      </w:tr>
      <w:tr w:rsidR="00F46A52" w:rsidRPr="00B12FAC" w:rsidTr="00F46A52">
        <w:trPr>
          <w:trHeight w:val="1500"/>
          <w:jc w:val="center"/>
        </w:trPr>
        <w:tc>
          <w:tcPr>
            <w:tcW w:w="325"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e)    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2002" w:type="pct"/>
            <w:gridSpan w:val="2"/>
            <w:vMerge/>
            <w:tcBorders>
              <w:left w:val="nil"/>
              <w:right w:val="dotted" w:sz="4" w:space="0" w:color="auto"/>
            </w:tcBorders>
            <w:shd w:val="clear" w:color="auto" w:fill="auto"/>
            <w:noWrap/>
            <w:vAlign w:val="center"/>
          </w:tcPr>
          <w:p w:rsidR="00F46A52" w:rsidRPr="00B12FAC" w:rsidRDefault="00F46A52" w:rsidP="00B12FAC">
            <w:pPr>
              <w:spacing w:after="0" w:line="240" w:lineRule="auto"/>
              <w:rPr>
                <w:rFonts w:ascii="Calibri" w:eastAsia="Times New Roman" w:hAnsi="Calibri" w:cs="Times New Roman"/>
                <w:color w:val="000000"/>
                <w:sz w:val="16"/>
              </w:rPr>
            </w:pPr>
          </w:p>
        </w:tc>
      </w:tr>
      <w:tr w:rsidR="00F46A52" w:rsidRPr="00B12FAC" w:rsidTr="00F46A52">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f)     La información detallada que contengan los planes de desarrollo urbano, ordenamiento territorial y ecológico, los tipos y usos de suelo, licencias de uso y construcción otorgadas por los gobiernos municipales, y</w:t>
            </w:r>
          </w:p>
        </w:tc>
        <w:tc>
          <w:tcPr>
            <w:tcW w:w="2002" w:type="pct"/>
            <w:gridSpan w:val="2"/>
            <w:vMerge/>
            <w:tcBorders>
              <w:left w:val="nil"/>
              <w:bottom w:val="dotted" w:sz="4" w:space="0" w:color="auto"/>
              <w:right w:val="dotted" w:sz="4" w:space="0" w:color="auto"/>
            </w:tcBorders>
            <w:shd w:val="clear" w:color="auto" w:fill="auto"/>
            <w:noWrap/>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r>
      <w:tr w:rsidR="00B12FAC" w:rsidRPr="00B12FAC" w:rsidTr="00F46A52">
        <w:trPr>
          <w:trHeight w:val="193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 xml:space="preserve">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w:t>
            </w:r>
            <w:r w:rsidRPr="00B12FAC">
              <w:rPr>
                <w:rFonts w:ascii="Calibri" w:eastAsia="Times New Roman" w:hAnsi="Calibri" w:cs="Times New Roman"/>
                <w:color w:val="2F2F2F"/>
                <w:sz w:val="16"/>
              </w:rPr>
              <w:lastRenderedPageBreak/>
              <w:t>trate de situaciones de emergencia, de conformidad con dichas disposiciones.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F46A52"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lastRenderedPageBreak/>
              <w:t>Aplica</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F46A52" w:rsidP="00F46A52">
            <w:pPr>
              <w:spacing w:after="0" w:line="240" w:lineRule="auto"/>
              <w:jc w:val="center"/>
              <w:rPr>
                <w:rFonts w:ascii="Calibri" w:eastAsia="Times New Roman" w:hAnsi="Calibri" w:cs="Times New Roman"/>
                <w:color w:val="000000"/>
                <w:sz w:val="16"/>
              </w:rPr>
            </w:pPr>
            <w:bookmarkStart w:id="0" w:name="_GoBack"/>
            <w:bookmarkEnd w:id="0"/>
            <w:r>
              <w:rPr>
                <w:rFonts w:ascii="Calibri" w:eastAsia="Times New Roman" w:hAnsi="Calibri" w:cs="Times New Roman"/>
                <w:color w:val="000000"/>
                <w:sz w:val="16"/>
              </w:rPr>
              <w:t>Todas las Unidades Administrativas de la Secretaria de la Contraloría General</w:t>
            </w:r>
          </w:p>
        </w:tc>
      </w:tr>
      <w:tr w:rsidR="00F46A52" w:rsidRPr="00B12FAC" w:rsidTr="00F46A52">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 Adicionalmente, en el caso de los municipios:</w:t>
            </w:r>
          </w:p>
        </w:tc>
        <w:tc>
          <w:tcPr>
            <w:tcW w:w="819"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contenido de las gacetas municipales, las cuales deberán comprender los resolutivos y acuerdos aprobados por los ayuntamientos, y</w:t>
            </w:r>
          </w:p>
        </w:tc>
        <w:tc>
          <w:tcPr>
            <w:tcW w:w="2002" w:type="pct"/>
            <w:gridSpan w:val="2"/>
            <w:vMerge w:val="restart"/>
            <w:tcBorders>
              <w:top w:val="nil"/>
              <w:left w:val="nil"/>
              <w:right w:val="dotted" w:sz="4" w:space="0" w:color="auto"/>
            </w:tcBorders>
            <w:shd w:val="clear" w:color="auto" w:fill="auto"/>
            <w:noWrap/>
            <w:vAlign w:val="center"/>
            <w:hideMark/>
          </w:tcPr>
          <w:p w:rsidR="00F46A52" w:rsidRPr="00F46A52" w:rsidRDefault="00F46A52" w:rsidP="00B12FAC">
            <w:pPr>
              <w:spacing w:after="0" w:line="240" w:lineRule="auto"/>
              <w:rPr>
                <w:rFonts w:ascii="Calibri" w:eastAsia="Times New Roman" w:hAnsi="Calibri" w:cs="Times New Roman"/>
                <w:b/>
                <w:color w:val="000000"/>
                <w:sz w:val="16"/>
              </w:rPr>
            </w:pPr>
            <w:r w:rsidRPr="00B12FAC">
              <w:rPr>
                <w:rFonts w:ascii="Calibri" w:eastAsia="Times New Roman" w:hAnsi="Calibri" w:cs="Times New Roman"/>
                <w:color w:val="000000"/>
                <w:sz w:val="16"/>
              </w:rPr>
              <w:t> </w:t>
            </w:r>
            <w:r w:rsidRPr="00F46A52">
              <w:rPr>
                <w:rFonts w:ascii="Calibri" w:eastAsia="Times New Roman" w:hAnsi="Calibri" w:cs="Times New Roman"/>
                <w:b/>
                <w:color w:val="000000"/>
                <w:sz w:val="16"/>
              </w:rPr>
              <w:t>NO APLICABLE</w:t>
            </w:r>
          </w:p>
          <w:p w:rsidR="00F46A52" w:rsidRDefault="00F46A52" w:rsidP="00F46A52">
            <w:pPr>
              <w:pStyle w:val="Default"/>
              <w:jc w:val="both"/>
              <w:rPr>
                <w:rFonts w:asciiTheme="minorHAnsi" w:hAnsiTheme="minorHAnsi" w:cstheme="minorHAnsi"/>
                <w:sz w:val="20"/>
                <w:szCs w:val="20"/>
              </w:rPr>
            </w:pPr>
            <w:r w:rsidRPr="00B12FAC">
              <w:rPr>
                <w:rFonts w:ascii="Calibri" w:eastAsia="Times New Roman" w:hAnsi="Calibri" w:cs="Times New Roman"/>
                <w:sz w:val="16"/>
              </w:rPr>
              <w:t> </w:t>
            </w:r>
          </w:p>
          <w:p w:rsidR="00F46A52" w:rsidRPr="00680854" w:rsidRDefault="00F46A52" w:rsidP="00F46A52">
            <w:pPr>
              <w:spacing w:after="0"/>
              <w:jc w:val="both"/>
              <w:rPr>
                <w:rFonts w:cstheme="minorHAnsi"/>
                <w:sz w:val="20"/>
                <w:szCs w:val="20"/>
              </w:rPr>
            </w:pPr>
            <w:r w:rsidRPr="00680854">
              <w:rPr>
                <w:rFonts w:cstheme="minorHAnsi"/>
                <w:sz w:val="20"/>
                <w:szCs w:val="20"/>
              </w:rPr>
              <w:t>Por lo establecido en el Artículo 26 de la Ley Orgánica del Poder Ejecutivo, A la Secretaria de la Contraloría General le corresponden las facultades y obligaciones en las materias siguientes:</w:t>
            </w:r>
          </w:p>
          <w:p w:rsidR="00F46A52" w:rsidRPr="00680854" w:rsidRDefault="00F46A52" w:rsidP="00F46A52">
            <w:pPr>
              <w:spacing w:after="0"/>
              <w:jc w:val="both"/>
              <w:rPr>
                <w:rFonts w:cstheme="minorHAnsi"/>
                <w:sz w:val="20"/>
                <w:szCs w:val="20"/>
              </w:rPr>
            </w:pPr>
            <w:r w:rsidRPr="00680854">
              <w:rPr>
                <w:rFonts w:cstheme="minorHAnsi"/>
                <w:sz w:val="20"/>
                <w:szCs w:val="20"/>
              </w:rPr>
              <w:t>A. En materia de control y desarrollo administrativo</w:t>
            </w:r>
          </w:p>
          <w:p w:rsidR="00F46A52" w:rsidRPr="00680854" w:rsidRDefault="00F46A52" w:rsidP="00F46A52">
            <w:pPr>
              <w:spacing w:after="0"/>
              <w:jc w:val="both"/>
              <w:rPr>
                <w:rFonts w:cstheme="minorHAnsi"/>
                <w:sz w:val="20"/>
                <w:szCs w:val="20"/>
              </w:rPr>
            </w:pPr>
            <w:r w:rsidRPr="00680854">
              <w:rPr>
                <w:rFonts w:cstheme="minorHAnsi"/>
                <w:sz w:val="20"/>
                <w:szCs w:val="20"/>
              </w:rPr>
              <w:t>B. En materia de desarrollo administrativo</w:t>
            </w:r>
          </w:p>
          <w:p w:rsidR="00F46A52" w:rsidRPr="00680854" w:rsidRDefault="00F46A52" w:rsidP="00F46A52">
            <w:pPr>
              <w:spacing w:after="0"/>
              <w:jc w:val="both"/>
              <w:rPr>
                <w:rFonts w:cstheme="minorHAnsi"/>
                <w:sz w:val="20"/>
                <w:szCs w:val="20"/>
              </w:rPr>
            </w:pPr>
            <w:r w:rsidRPr="00680854">
              <w:rPr>
                <w:rFonts w:cstheme="minorHAnsi"/>
                <w:sz w:val="20"/>
                <w:szCs w:val="20"/>
              </w:rPr>
              <w:t>C. En materia de control gubernamental</w:t>
            </w:r>
          </w:p>
          <w:p w:rsidR="00F46A52" w:rsidRPr="00680854" w:rsidRDefault="00F46A52" w:rsidP="00F46A52">
            <w:pPr>
              <w:spacing w:after="0"/>
              <w:jc w:val="both"/>
              <w:rPr>
                <w:rFonts w:cstheme="minorHAnsi"/>
                <w:sz w:val="20"/>
                <w:szCs w:val="20"/>
              </w:rPr>
            </w:pPr>
            <w:r w:rsidRPr="00680854">
              <w:rPr>
                <w:rFonts w:cstheme="minorHAnsi"/>
                <w:sz w:val="20"/>
                <w:szCs w:val="20"/>
              </w:rPr>
              <w:t>D. En materia de participación social y vinculación</w:t>
            </w:r>
          </w:p>
          <w:p w:rsidR="00F46A52" w:rsidRPr="00680854" w:rsidRDefault="00F46A52" w:rsidP="00F46A52">
            <w:pPr>
              <w:spacing w:after="0"/>
              <w:jc w:val="both"/>
              <w:rPr>
                <w:rFonts w:cstheme="minorHAnsi"/>
                <w:sz w:val="20"/>
                <w:szCs w:val="20"/>
              </w:rPr>
            </w:pPr>
            <w:r w:rsidRPr="00680854">
              <w:rPr>
                <w:rFonts w:cstheme="minorHAnsi"/>
                <w:sz w:val="20"/>
                <w:szCs w:val="20"/>
              </w:rPr>
              <w:t>E. En materia de transparencia y combate a la corrupción</w:t>
            </w:r>
          </w:p>
          <w:p w:rsidR="00F46A52" w:rsidRPr="00680854" w:rsidRDefault="00F46A52" w:rsidP="00F46A52">
            <w:pPr>
              <w:jc w:val="both"/>
              <w:rPr>
                <w:rFonts w:cstheme="minorHAnsi"/>
                <w:sz w:val="20"/>
                <w:szCs w:val="20"/>
              </w:rPr>
            </w:pPr>
          </w:p>
          <w:p w:rsidR="00F46A52" w:rsidRPr="00680854" w:rsidRDefault="00F46A52" w:rsidP="00F46A52">
            <w:pPr>
              <w:autoSpaceDE w:val="0"/>
              <w:autoSpaceDN w:val="0"/>
              <w:adjustRightInd w:val="0"/>
              <w:spacing w:after="0" w:line="240" w:lineRule="auto"/>
              <w:jc w:val="both"/>
              <w:rPr>
                <w:rFonts w:cstheme="minorHAnsi"/>
                <w:sz w:val="20"/>
                <w:szCs w:val="20"/>
              </w:rPr>
            </w:pPr>
            <w:r w:rsidRPr="00680854">
              <w:rPr>
                <w:rFonts w:cstheme="minorHAnsi"/>
                <w:sz w:val="20"/>
                <w:szCs w:val="20"/>
              </w:rPr>
              <w:t xml:space="preserve">De la propia ley orgánica citada con anterioridad, se desprende que la Secretaría de la Contraloría General lleva a cabo en materia de control y desarrollo administrativo la instrumentación, evaluación y desarrollo de procedimientos de control administrativos en la administración pública estatal, asimismo lleva a cabo auditorías en materia de control gubernamental para examinar y verificar el  ejercicio del gasto </w:t>
            </w:r>
            <w:r w:rsidRPr="00680854">
              <w:rPr>
                <w:rFonts w:cstheme="minorHAnsi"/>
                <w:sz w:val="20"/>
                <w:szCs w:val="20"/>
              </w:rPr>
              <w:lastRenderedPageBreak/>
              <w:t>público, igualmente en materia de participación social y vinculación desarrolla a través de esquemas de contraloría social con grupos de la sociedad interesados en participar dentro de un marco de corresponsabilidad, la planeación, control y evaluación de las acciones y programas del Gobierno del Estado, extendiendo su cobertura al ámbito municipal, por último, en materia de transparencia y combate a la corrupción, busca la vinculación entre gobierno-sociedad para fomentar una cultura de la transparencia y un seguimiento oportuno a los actos u omisiones que puedan constituir una responsabilidad administrativa.</w:t>
            </w:r>
          </w:p>
          <w:p w:rsidR="00F46A52" w:rsidRPr="00680854" w:rsidRDefault="00F46A52" w:rsidP="00F46A52">
            <w:pPr>
              <w:jc w:val="both"/>
              <w:rPr>
                <w:rFonts w:cstheme="minorHAnsi"/>
                <w:sz w:val="20"/>
                <w:szCs w:val="20"/>
              </w:rPr>
            </w:pPr>
          </w:p>
          <w:p w:rsidR="00F46A52" w:rsidRPr="00680854" w:rsidRDefault="00F46A52" w:rsidP="00F46A52">
            <w:pPr>
              <w:pStyle w:val="Default"/>
              <w:jc w:val="both"/>
              <w:rPr>
                <w:rFonts w:asciiTheme="minorHAnsi" w:hAnsiTheme="minorHAnsi" w:cstheme="minorHAnsi"/>
                <w:sz w:val="20"/>
                <w:szCs w:val="20"/>
              </w:rPr>
            </w:pPr>
            <w:r w:rsidRPr="00680854">
              <w:rPr>
                <w:rFonts w:asciiTheme="minorHAnsi" w:hAnsiTheme="minorHAnsi" w:cstheme="minorHAnsi"/>
                <w:sz w:val="20"/>
                <w:szCs w:val="20"/>
              </w:rPr>
              <w:t>De igual forma, el Reglamento interior de la Secretaría de la Contraloría General, en su artículo 1, establece el objeto de la dependencia: “A la Secretaría de la Contraloría General, como dependencia directa de la Administración Pública Estatal, le corresponde el despacho y coordinación de los asuntos que en materia de control y desarrollo administrativo, control gubernamental, participación social, vinculación, transparencia y combate a la corrupción, que le confieren la Ley Orgánica del Poder Ejecutivo del Estado de Sonora..”</w:t>
            </w:r>
          </w:p>
          <w:p w:rsidR="00F46A52" w:rsidRPr="00680854" w:rsidRDefault="00F46A52" w:rsidP="00F46A52">
            <w:pPr>
              <w:pStyle w:val="Default"/>
              <w:jc w:val="both"/>
              <w:rPr>
                <w:rFonts w:asciiTheme="minorHAnsi" w:hAnsiTheme="minorHAnsi" w:cstheme="minorHAnsi"/>
                <w:sz w:val="20"/>
                <w:szCs w:val="20"/>
              </w:rPr>
            </w:pPr>
          </w:p>
          <w:p w:rsidR="00F46A52" w:rsidRPr="00680854" w:rsidRDefault="00F46A52" w:rsidP="00F46A52">
            <w:pPr>
              <w:pStyle w:val="Default"/>
              <w:jc w:val="both"/>
              <w:rPr>
                <w:rFonts w:asciiTheme="minorHAnsi" w:hAnsiTheme="minorHAnsi" w:cstheme="minorHAnsi"/>
                <w:bCs/>
                <w:sz w:val="20"/>
                <w:szCs w:val="20"/>
              </w:rPr>
            </w:pPr>
            <w:r w:rsidRPr="00680854">
              <w:rPr>
                <w:rFonts w:asciiTheme="minorHAnsi" w:hAnsiTheme="minorHAnsi" w:cstheme="minorHAnsi"/>
                <w:sz w:val="20"/>
                <w:szCs w:val="20"/>
              </w:rPr>
              <w:t xml:space="preserve">De lo anterior, se concluye que la Secretaría de la Contraloría General atendiendo exclusivamente a las atribuciones que le </w:t>
            </w:r>
            <w:proofErr w:type="gramStart"/>
            <w:r w:rsidRPr="00680854">
              <w:rPr>
                <w:rFonts w:asciiTheme="minorHAnsi" w:hAnsiTheme="minorHAnsi" w:cstheme="minorHAnsi"/>
                <w:sz w:val="20"/>
                <w:szCs w:val="20"/>
              </w:rPr>
              <w:t>confiere</w:t>
            </w:r>
            <w:proofErr w:type="gramEnd"/>
            <w:r w:rsidRPr="00680854">
              <w:rPr>
                <w:rFonts w:asciiTheme="minorHAnsi" w:hAnsiTheme="minorHAnsi" w:cstheme="minorHAnsi"/>
                <w:sz w:val="20"/>
                <w:szCs w:val="20"/>
              </w:rPr>
              <w:t xml:space="preserve"> la Ley Orgánica del Poder Ejecutivo y su propio Reglamento Interior, </w:t>
            </w:r>
            <w:r w:rsidRPr="00680854">
              <w:rPr>
                <w:rFonts w:asciiTheme="minorHAnsi" w:hAnsiTheme="minorHAnsi" w:cstheme="minorHAnsi"/>
                <w:b/>
                <w:sz w:val="20"/>
                <w:szCs w:val="20"/>
                <w:u w:val="single"/>
              </w:rPr>
              <w:t xml:space="preserve">NO </w:t>
            </w:r>
            <w:r>
              <w:rPr>
                <w:rFonts w:asciiTheme="minorHAnsi" w:hAnsiTheme="minorHAnsi" w:cstheme="minorHAnsi"/>
                <w:b/>
                <w:sz w:val="20"/>
                <w:szCs w:val="20"/>
                <w:u w:val="single"/>
              </w:rPr>
              <w:t xml:space="preserve">le corresponde informar sobre lo que establecen las presentes fracciones del artículo 71 de la Ley General de Transparencia y Acceso a la Información </w:t>
            </w:r>
            <w:r>
              <w:rPr>
                <w:rFonts w:asciiTheme="minorHAnsi" w:hAnsiTheme="minorHAnsi" w:cstheme="minorHAnsi"/>
                <w:b/>
                <w:sz w:val="20"/>
                <w:szCs w:val="20"/>
                <w:u w:val="single"/>
              </w:rPr>
              <w:lastRenderedPageBreak/>
              <w:t>Pública.</w:t>
            </w:r>
          </w:p>
          <w:p w:rsidR="00F46A52" w:rsidRPr="00B12FAC" w:rsidRDefault="00F46A52" w:rsidP="00B12FAC">
            <w:pPr>
              <w:spacing w:after="0" w:line="240" w:lineRule="auto"/>
              <w:rPr>
                <w:rFonts w:ascii="Calibri" w:eastAsia="Times New Roman" w:hAnsi="Calibri" w:cs="Times New Roman"/>
                <w:color w:val="000000"/>
                <w:sz w:val="16"/>
              </w:rPr>
            </w:pPr>
          </w:p>
        </w:tc>
      </w:tr>
      <w:tr w:rsidR="00F46A52" w:rsidRPr="00B12FAC" w:rsidTr="00F46A52">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w:t>
            </w:r>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Las actas de sesiones de cabildo, los controles de asistencia de los integrantes del Ayuntamiento a las sesiones de cabildo y el sentido de votación de los miembros del cabildo sobre las iniciativas o acuerdos.</w:t>
            </w:r>
          </w:p>
        </w:tc>
        <w:tc>
          <w:tcPr>
            <w:tcW w:w="2002" w:type="pct"/>
            <w:gridSpan w:val="2"/>
            <w:vMerge/>
            <w:tcBorders>
              <w:left w:val="nil"/>
              <w:bottom w:val="dotted" w:sz="4" w:space="0" w:color="auto"/>
              <w:right w:val="dotted" w:sz="4" w:space="0" w:color="auto"/>
            </w:tcBorders>
            <w:shd w:val="clear" w:color="auto" w:fill="auto"/>
            <w:noWrap/>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r>
    </w:tbl>
    <w:p w:rsidR="00B12FAC" w:rsidRDefault="00B12FAC" w:rsidP="00667E9A">
      <w:pPr>
        <w:spacing w:after="0" w:line="240" w:lineRule="auto"/>
        <w:ind w:left="851"/>
        <w:jc w:val="both"/>
        <w:rPr>
          <w:rFonts w:ascii="Calibri" w:eastAsia="Times New Roman" w:hAnsi="Calibri" w:cs="Times New Roman"/>
          <w:b/>
          <w:bCs/>
          <w:color w:val="60497A"/>
        </w:rPr>
      </w:pPr>
    </w:p>
    <w:sectPr w:rsidR="00B12FAC" w:rsidSect="007F33D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4">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EE858A1"/>
    <w:multiLevelType w:val="hybridMultilevel"/>
    <w:tmpl w:val="DF7A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1"/>
  </w:num>
  <w:num w:numId="5">
    <w:abstractNumId w:val="12"/>
  </w:num>
  <w:num w:numId="6">
    <w:abstractNumId w:val="10"/>
  </w:num>
  <w:num w:numId="7">
    <w:abstractNumId w:val="9"/>
  </w:num>
  <w:num w:numId="8">
    <w:abstractNumId w:val="0"/>
  </w:num>
  <w:num w:numId="9">
    <w:abstractNumId w:val="8"/>
  </w:num>
  <w:num w:numId="10">
    <w:abstractNumId w:val="1"/>
  </w:num>
  <w:num w:numId="11">
    <w:abstractNumId w:val="2"/>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D8"/>
    <w:rsid w:val="000060D6"/>
    <w:rsid w:val="00041749"/>
    <w:rsid w:val="00056175"/>
    <w:rsid w:val="000B328D"/>
    <w:rsid w:val="00164E99"/>
    <w:rsid w:val="001C7363"/>
    <w:rsid w:val="001D4947"/>
    <w:rsid w:val="00206736"/>
    <w:rsid w:val="00222986"/>
    <w:rsid w:val="00262C53"/>
    <w:rsid w:val="00264138"/>
    <w:rsid w:val="0028212D"/>
    <w:rsid w:val="002962D2"/>
    <w:rsid w:val="002D2629"/>
    <w:rsid w:val="00305729"/>
    <w:rsid w:val="003153C7"/>
    <w:rsid w:val="003171E0"/>
    <w:rsid w:val="003315C6"/>
    <w:rsid w:val="00402FB8"/>
    <w:rsid w:val="00415002"/>
    <w:rsid w:val="004B6085"/>
    <w:rsid w:val="00534D62"/>
    <w:rsid w:val="00554264"/>
    <w:rsid w:val="005E3AFE"/>
    <w:rsid w:val="00614EB8"/>
    <w:rsid w:val="006423F1"/>
    <w:rsid w:val="00667E9A"/>
    <w:rsid w:val="00686F88"/>
    <w:rsid w:val="006C7D33"/>
    <w:rsid w:val="006D28AA"/>
    <w:rsid w:val="006E43B3"/>
    <w:rsid w:val="007031F8"/>
    <w:rsid w:val="0071003C"/>
    <w:rsid w:val="00730B2B"/>
    <w:rsid w:val="00734655"/>
    <w:rsid w:val="007F33D8"/>
    <w:rsid w:val="008070E6"/>
    <w:rsid w:val="00864C64"/>
    <w:rsid w:val="00864E59"/>
    <w:rsid w:val="008D3747"/>
    <w:rsid w:val="009016E5"/>
    <w:rsid w:val="0091347C"/>
    <w:rsid w:val="00913825"/>
    <w:rsid w:val="00922E7F"/>
    <w:rsid w:val="00926FAD"/>
    <w:rsid w:val="00951EA4"/>
    <w:rsid w:val="00957BFE"/>
    <w:rsid w:val="00970527"/>
    <w:rsid w:val="00970893"/>
    <w:rsid w:val="00982F88"/>
    <w:rsid w:val="009901F6"/>
    <w:rsid w:val="009A025C"/>
    <w:rsid w:val="009A3AF4"/>
    <w:rsid w:val="009C25DB"/>
    <w:rsid w:val="009E405E"/>
    <w:rsid w:val="00A02588"/>
    <w:rsid w:val="00A52B2A"/>
    <w:rsid w:val="00A63C3E"/>
    <w:rsid w:val="00A94C08"/>
    <w:rsid w:val="00AC7ABA"/>
    <w:rsid w:val="00AD413E"/>
    <w:rsid w:val="00AD574B"/>
    <w:rsid w:val="00B04730"/>
    <w:rsid w:val="00B12FAC"/>
    <w:rsid w:val="00B13B50"/>
    <w:rsid w:val="00B2460F"/>
    <w:rsid w:val="00B351A2"/>
    <w:rsid w:val="00B366FD"/>
    <w:rsid w:val="00B43A8D"/>
    <w:rsid w:val="00B744CC"/>
    <w:rsid w:val="00BA26B3"/>
    <w:rsid w:val="00BA3CD1"/>
    <w:rsid w:val="00BC0E34"/>
    <w:rsid w:val="00C6302E"/>
    <w:rsid w:val="00C66099"/>
    <w:rsid w:val="00DA6791"/>
    <w:rsid w:val="00DC6732"/>
    <w:rsid w:val="00E04926"/>
    <w:rsid w:val="00E22E14"/>
    <w:rsid w:val="00EB76C4"/>
    <w:rsid w:val="00EE16DF"/>
    <w:rsid w:val="00EE33B7"/>
    <w:rsid w:val="00EF44D8"/>
    <w:rsid w:val="00F307FE"/>
    <w:rsid w:val="00F46A52"/>
    <w:rsid w:val="00F50015"/>
    <w:rsid w:val="00F509A5"/>
    <w:rsid w:val="00F55EA1"/>
    <w:rsid w:val="00F97083"/>
    <w:rsid w:val="00FE4A42"/>
    <w:rsid w:val="00FE5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76C4"/>
    <w:pPr>
      <w:widowControl w:val="0"/>
      <w:ind w:left="720"/>
      <w:contextualSpacing/>
    </w:pPr>
    <w:rPr>
      <w:lang w:val="en-US"/>
    </w:rPr>
  </w:style>
  <w:style w:type="character" w:customStyle="1" w:styleId="ListParagraphChar">
    <w:name w:val="List Paragraph Char"/>
    <w:link w:val="ListParagraph"/>
    <w:locked/>
    <w:rsid w:val="00EB76C4"/>
    <w:rPr>
      <w:lang w:val="en-US"/>
    </w:rPr>
  </w:style>
  <w:style w:type="paragraph" w:styleId="BalloonText">
    <w:name w:val="Balloon Text"/>
    <w:basedOn w:val="Normal"/>
    <w:link w:val="BalloonTextChar"/>
    <w:uiPriority w:val="99"/>
    <w:semiHidden/>
    <w:unhideWhenUsed/>
    <w:rsid w:val="006D2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8AA"/>
    <w:rPr>
      <w:rFonts w:ascii="Tahoma" w:hAnsi="Tahoma" w:cs="Tahoma"/>
      <w:sz w:val="16"/>
      <w:szCs w:val="16"/>
    </w:rPr>
  </w:style>
  <w:style w:type="paragraph" w:styleId="BodyTextIndent">
    <w:name w:val="Body Text Indent"/>
    <w:basedOn w:val="Normal"/>
    <w:link w:val="BodyTextIndentChar"/>
    <w:uiPriority w:val="99"/>
    <w:semiHidden/>
    <w:unhideWhenUsed/>
    <w:rsid w:val="007F33D8"/>
    <w:pPr>
      <w:spacing w:after="120"/>
      <w:ind w:left="283"/>
    </w:pPr>
  </w:style>
  <w:style w:type="character" w:customStyle="1" w:styleId="BodyTextIndentChar">
    <w:name w:val="Body Text Indent Char"/>
    <w:basedOn w:val="DefaultParagraphFont"/>
    <w:link w:val="BodyTextIndent"/>
    <w:uiPriority w:val="99"/>
    <w:semiHidden/>
    <w:rsid w:val="007F33D8"/>
  </w:style>
  <w:style w:type="paragraph" w:styleId="BodyTextFirstIndent2">
    <w:name w:val="Body Text First Indent 2"/>
    <w:basedOn w:val="BodyTextIndent"/>
    <w:link w:val="BodyTextFirstIndent2Char"/>
    <w:uiPriority w:val="99"/>
    <w:unhideWhenUsed/>
    <w:rsid w:val="007F33D8"/>
    <w:pPr>
      <w:spacing w:after="200"/>
      <w:ind w:left="360" w:firstLine="360"/>
    </w:pPr>
    <w:rPr>
      <w:rFonts w:eastAsiaTheme="minorHAnsi"/>
      <w:lang w:eastAsia="en-US"/>
    </w:rPr>
  </w:style>
  <w:style w:type="character" w:customStyle="1" w:styleId="BodyTextFirstIndent2Char">
    <w:name w:val="Body Text First Indent 2 Char"/>
    <w:basedOn w:val="BodyTextIndentChar"/>
    <w:link w:val="BodyTextFirstIndent2"/>
    <w:uiPriority w:val="99"/>
    <w:rsid w:val="007F33D8"/>
    <w:rPr>
      <w:rFonts w:eastAsiaTheme="minorHAnsi"/>
      <w:lang w:eastAsia="en-US"/>
    </w:rPr>
  </w:style>
  <w:style w:type="paragraph" w:styleId="BodyText">
    <w:name w:val="Body Text"/>
    <w:basedOn w:val="Normal"/>
    <w:link w:val="BodyTextChar"/>
    <w:uiPriority w:val="99"/>
    <w:unhideWhenUsed/>
    <w:rsid w:val="007F33D8"/>
    <w:pPr>
      <w:spacing w:after="120"/>
    </w:pPr>
    <w:rPr>
      <w:rFonts w:eastAsiaTheme="minorHAnsi"/>
      <w:lang w:eastAsia="en-US"/>
    </w:rPr>
  </w:style>
  <w:style w:type="character" w:customStyle="1" w:styleId="BodyTextChar">
    <w:name w:val="Body Text Char"/>
    <w:basedOn w:val="DefaultParagraphFont"/>
    <w:link w:val="BodyText"/>
    <w:uiPriority w:val="99"/>
    <w:rsid w:val="007F33D8"/>
    <w:rPr>
      <w:rFonts w:eastAsiaTheme="minorHAnsi"/>
      <w:lang w:eastAsia="en-US"/>
    </w:rPr>
  </w:style>
  <w:style w:type="character" w:customStyle="1" w:styleId="apple-converted-space">
    <w:name w:val="apple-converted-space"/>
    <w:basedOn w:val="DefaultParagraphFont"/>
    <w:rsid w:val="00534D62"/>
  </w:style>
  <w:style w:type="paragraph" w:customStyle="1" w:styleId="Default">
    <w:name w:val="Default"/>
    <w:rsid w:val="00F46A52"/>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76C4"/>
    <w:pPr>
      <w:widowControl w:val="0"/>
      <w:ind w:left="720"/>
      <w:contextualSpacing/>
    </w:pPr>
    <w:rPr>
      <w:lang w:val="en-US"/>
    </w:rPr>
  </w:style>
  <w:style w:type="character" w:customStyle="1" w:styleId="ListParagraphChar">
    <w:name w:val="List Paragraph Char"/>
    <w:link w:val="ListParagraph"/>
    <w:locked/>
    <w:rsid w:val="00EB76C4"/>
    <w:rPr>
      <w:lang w:val="en-US"/>
    </w:rPr>
  </w:style>
  <w:style w:type="paragraph" w:styleId="BalloonText">
    <w:name w:val="Balloon Text"/>
    <w:basedOn w:val="Normal"/>
    <w:link w:val="BalloonTextChar"/>
    <w:uiPriority w:val="99"/>
    <w:semiHidden/>
    <w:unhideWhenUsed/>
    <w:rsid w:val="006D2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8AA"/>
    <w:rPr>
      <w:rFonts w:ascii="Tahoma" w:hAnsi="Tahoma" w:cs="Tahoma"/>
      <w:sz w:val="16"/>
      <w:szCs w:val="16"/>
    </w:rPr>
  </w:style>
  <w:style w:type="paragraph" w:styleId="BodyTextIndent">
    <w:name w:val="Body Text Indent"/>
    <w:basedOn w:val="Normal"/>
    <w:link w:val="BodyTextIndentChar"/>
    <w:uiPriority w:val="99"/>
    <w:semiHidden/>
    <w:unhideWhenUsed/>
    <w:rsid w:val="007F33D8"/>
    <w:pPr>
      <w:spacing w:after="120"/>
      <w:ind w:left="283"/>
    </w:pPr>
  </w:style>
  <w:style w:type="character" w:customStyle="1" w:styleId="BodyTextIndentChar">
    <w:name w:val="Body Text Indent Char"/>
    <w:basedOn w:val="DefaultParagraphFont"/>
    <w:link w:val="BodyTextIndent"/>
    <w:uiPriority w:val="99"/>
    <w:semiHidden/>
    <w:rsid w:val="007F33D8"/>
  </w:style>
  <w:style w:type="paragraph" w:styleId="BodyTextFirstIndent2">
    <w:name w:val="Body Text First Indent 2"/>
    <w:basedOn w:val="BodyTextIndent"/>
    <w:link w:val="BodyTextFirstIndent2Char"/>
    <w:uiPriority w:val="99"/>
    <w:unhideWhenUsed/>
    <w:rsid w:val="007F33D8"/>
    <w:pPr>
      <w:spacing w:after="200"/>
      <w:ind w:left="360" w:firstLine="360"/>
    </w:pPr>
    <w:rPr>
      <w:rFonts w:eastAsiaTheme="minorHAnsi"/>
      <w:lang w:eastAsia="en-US"/>
    </w:rPr>
  </w:style>
  <w:style w:type="character" w:customStyle="1" w:styleId="BodyTextFirstIndent2Char">
    <w:name w:val="Body Text First Indent 2 Char"/>
    <w:basedOn w:val="BodyTextIndentChar"/>
    <w:link w:val="BodyTextFirstIndent2"/>
    <w:uiPriority w:val="99"/>
    <w:rsid w:val="007F33D8"/>
    <w:rPr>
      <w:rFonts w:eastAsiaTheme="minorHAnsi"/>
      <w:lang w:eastAsia="en-US"/>
    </w:rPr>
  </w:style>
  <w:style w:type="paragraph" w:styleId="BodyText">
    <w:name w:val="Body Text"/>
    <w:basedOn w:val="Normal"/>
    <w:link w:val="BodyTextChar"/>
    <w:uiPriority w:val="99"/>
    <w:unhideWhenUsed/>
    <w:rsid w:val="007F33D8"/>
    <w:pPr>
      <w:spacing w:after="120"/>
    </w:pPr>
    <w:rPr>
      <w:rFonts w:eastAsiaTheme="minorHAnsi"/>
      <w:lang w:eastAsia="en-US"/>
    </w:rPr>
  </w:style>
  <w:style w:type="character" w:customStyle="1" w:styleId="BodyTextChar">
    <w:name w:val="Body Text Char"/>
    <w:basedOn w:val="DefaultParagraphFont"/>
    <w:link w:val="BodyText"/>
    <w:uiPriority w:val="99"/>
    <w:rsid w:val="007F33D8"/>
    <w:rPr>
      <w:rFonts w:eastAsiaTheme="minorHAnsi"/>
      <w:lang w:eastAsia="en-US"/>
    </w:rPr>
  </w:style>
  <w:style w:type="character" w:customStyle="1" w:styleId="apple-converted-space">
    <w:name w:val="apple-converted-space"/>
    <w:basedOn w:val="DefaultParagraphFont"/>
    <w:rsid w:val="00534D62"/>
  </w:style>
  <w:style w:type="paragraph" w:customStyle="1" w:styleId="Default">
    <w:name w:val="Default"/>
    <w:rsid w:val="00F46A52"/>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A340-B671-476B-9794-E1E27DAE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1210</Words>
  <Characters>6656</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Geovane Rojas</cp:lastModifiedBy>
  <cp:revision>2</cp:revision>
  <cp:lastPrinted>2016-04-27T00:44:00Z</cp:lastPrinted>
  <dcterms:created xsi:type="dcterms:W3CDTF">2017-02-06T08:40:00Z</dcterms:created>
  <dcterms:modified xsi:type="dcterms:W3CDTF">2017-02-06T08:40:00Z</dcterms:modified>
</cp:coreProperties>
</file>