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34" w:rsidRPr="005F3445" w:rsidRDefault="00707579" w:rsidP="001053CE">
      <w:pPr>
        <w:pStyle w:val="Sinespaciado"/>
        <w:rPr>
          <w:rFonts w:ascii="Arial" w:hAnsi="Arial" w:cs="Arial"/>
          <w:sz w:val="20"/>
          <w:szCs w:val="20"/>
        </w:rPr>
      </w:pPr>
      <w:r>
        <w:rPr>
          <w:rFonts w:ascii="Arial" w:hAnsi="Arial" w:cs="Arial"/>
          <w:sz w:val="20"/>
          <w:szCs w:val="20"/>
        </w:rPr>
        <w:tab/>
      </w:r>
      <w:r w:rsidR="00AC66EF">
        <w:rPr>
          <w:rFonts w:ascii="Arial" w:hAnsi="Arial" w:cs="Arial"/>
          <w:sz w:val="20"/>
          <w:szCs w:val="20"/>
        </w:rPr>
        <w:tab/>
      </w:r>
    </w:p>
    <w:p w:rsidR="00214C34" w:rsidRPr="00581F1F" w:rsidRDefault="005F0379" w:rsidP="009306CB">
      <w:pPr>
        <w:pStyle w:val="Default"/>
        <w:jc w:val="both"/>
        <w:rPr>
          <w:sz w:val="20"/>
          <w:szCs w:val="20"/>
        </w:rPr>
      </w:pPr>
      <w:r w:rsidRPr="00581F1F">
        <w:rPr>
          <w:sz w:val="20"/>
          <w:szCs w:val="20"/>
        </w:rPr>
        <w:t xml:space="preserve">De conformidad al artículo 46, fracción I, inciso e) y 49 de la Ley General de Contabilidad Gubernamental, así como a la normatividad emitida por el Consejo Nacional de Armonización Contable, a continuación se presentan las notas a los estados financieros correspondientes al </w:t>
      </w:r>
      <w:r w:rsidR="006A0E8D">
        <w:rPr>
          <w:sz w:val="20"/>
          <w:szCs w:val="20"/>
        </w:rPr>
        <w:t>segundo</w:t>
      </w:r>
      <w:r w:rsidR="00FE34A1">
        <w:rPr>
          <w:sz w:val="20"/>
          <w:szCs w:val="20"/>
        </w:rPr>
        <w:t xml:space="preserve"> tr</w:t>
      </w:r>
      <w:r w:rsidR="00151D40">
        <w:rPr>
          <w:sz w:val="20"/>
          <w:szCs w:val="20"/>
        </w:rPr>
        <w:t>imestre de 20</w:t>
      </w:r>
      <w:r w:rsidR="00F63FF7">
        <w:rPr>
          <w:sz w:val="20"/>
          <w:szCs w:val="20"/>
        </w:rPr>
        <w:t>20</w:t>
      </w:r>
      <w:r w:rsidRPr="00581F1F">
        <w:rPr>
          <w:sz w:val="20"/>
          <w:szCs w:val="20"/>
        </w:rPr>
        <w:t>, con los siguientes apartados:</w:t>
      </w:r>
    </w:p>
    <w:p w:rsidR="005F0379" w:rsidRPr="00581F1F" w:rsidRDefault="005F0379" w:rsidP="00214C34">
      <w:pPr>
        <w:pStyle w:val="Default"/>
        <w:rPr>
          <w:sz w:val="20"/>
          <w:szCs w:val="20"/>
        </w:rPr>
      </w:pPr>
    </w:p>
    <w:p w:rsidR="005F0379" w:rsidRPr="00581F1F" w:rsidRDefault="005F0379" w:rsidP="00214C34">
      <w:pPr>
        <w:pStyle w:val="Default"/>
        <w:rPr>
          <w:sz w:val="20"/>
          <w:szCs w:val="20"/>
        </w:rPr>
      </w:pPr>
      <w:r w:rsidRPr="00581F1F">
        <w:rPr>
          <w:sz w:val="20"/>
          <w:szCs w:val="20"/>
        </w:rPr>
        <w:t>- Notas de Desglose</w:t>
      </w:r>
    </w:p>
    <w:p w:rsidR="005F0379" w:rsidRPr="00581F1F" w:rsidRDefault="005F0379" w:rsidP="00214C34">
      <w:pPr>
        <w:pStyle w:val="Default"/>
        <w:rPr>
          <w:sz w:val="20"/>
          <w:szCs w:val="20"/>
        </w:rPr>
      </w:pPr>
      <w:r w:rsidRPr="00581F1F">
        <w:rPr>
          <w:sz w:val="20"/>
          <w:szCs w:val="20"/>
        </w:rPr>
        <w:t>- Notas de Memoria</w:t>
      </w:r>
    </w:p>
    <w:p w:rsidR="005F0379" w:rsidRPr="00581F1F" w:rsidRDefault="005F0379" w:rsidP="0005541A">
      <w:pPr>
        <w:pStyle w:val="Default"/>
        <w:tabs>
          <w:tab w:val="left" w:pos="4764"/>
        </w:tabs>
        <w:rPr>
          <w:sz w:val="20"/>
          <w:szCs w:val="20"/>
        </w:rPr>
      </w:pPr>
      <w:r w:rsidRPr="00581F1F">
        <w:rPr>
          <w:sz w:val="20"/>
          <w:szCs w:val="20"/>
        </w:rPr>
        <w:t>- Notas de Gestión Administrativa</w:t>
      </w:r>
      <w:r w:rsidR="0005541A">
        <w:rPr>
          <w:sz w:val="20"/>
          <w:szCs w:val="20"/>
        </w:rPr>
        <w:tab/>
      </w:r>
    </w:p>
    <w:p w:rsidR="005F0379" w:rsidRPr="00581F1F" w:rsidRDefault="005F0379" w:rsidP="005F0379">
      <w:pPr>
        <w:pStyle w:val="Default"/>
        <w:rPr>
          <w:sz w:val="20"/>
          <w:szCs w:val="20"/>
        </w:rPr>
      </w:pPr>
    </w:p>
    <w:p w:rsidR="005F0379" w:rsidRPr="00581F1F" w:rsidRDefault="005F0379" w:rsidP="005F0379">
      <w:pPr>
        <w:pStyle w:val="Default"/>
        <w:numPr>
          <w:ilvl w:val="0"/>
          <w:numId w:val="24"/>
        </w:numPr>
        <w:rPr>
          <w:b/>
          <w:sz w:val="20"/>
          <w:szCs w:val="20"/>
        </w:rPr>
      </w:pPr>
      <w:r w:rsidRPr="00581F1F">
        <w:rPr>
          <w:b/>
          <w:sz w:val="20"/>
          <w:szCs w:val="20"/>
        </w:rPr>
        <w:t>Notas de Desglose</w:t>
      </w:r>
    </w:p>
    <w:p w:rsidR="005F0379" w:rsidRPr="00581F1F" w:rsidRDefault="005F0379" w:rsidP="005F0379">
      <w:pPr>
        <w:pStyle w:val="Default"/>
        <w:ind w:left="1080"/>
        <w:rPr>
          <w:b/>
          <w:sz w:val="20"/>
          <w:szCs w:val="20"/>
        </w:rPr>
      </w:pPr>
    </w:p>
    <w:p w:rsidR="005F0379" w:rsidRPr="00581F1F" w:rsidRDefault="005F0379" w:rsidP="005F0379">
      <w:pPr>
        <w:pStyle w:val="Default"/>
        <w:numPr>
          <w:ilvl w:val="0"/>
          <w:numId w:val="22"/>
        </w:numPr>
        <w:rPr>
          <w:b/>
          <w:sz w:val="20"/>
          <w:szCs w:val="20"/>
        </w:rPr>
      </w:pPr>
      <w:r w:rsidRPr="00581F1F">
        <w:rPr>
          <w:b/>
          <w:sz w:val="20"/>
          <w:szCs w:val="20"/>
        </w:rPr>
        <w:t>Notas al Estado de Situación Financiera</w:t>
      </w:r>
    </w:p>
    <w:p w:rsidR="005F0379" w:rsidRPr="00581F1F" w:rsidRDefault="005F0379" w:rsidP="005F0379">
      <w:pPr>
        <w:pStyle w:val="Default"/>
        <w:rPr>
          <w:b/>
          <w:sz w:val="20"/>
          <w:szCs w:val="20"/>
        </w:rPr>
      </w:pPr>
    </w:p>
    <w:p w:rsidR="005F0379" w:rsidRPr="00581F1F" w:rsidRDefault="005F0379" w:rsidP="005F0379">
      <w:pPr>
        <w:pStyle w:val="Default"/>
        <w:rPr>
          <w:b/>
          <w:sz w:val="20"/>
          <w:szCs w:val="20"/>
        </w:rPr>
      </w:pPr>
      <w:r w:rsidRPr="00581F1F">
        <w:rPr>
          <w:b/>
          <w:sz w:val="20"/>
          <w:szCs w:val="20"/>
        </w:rPr>
        <w:t>Activo</w:t>
      </w:r>
    </w:p>
    <w:p w:rsidR="005F0379" w:rsidRPr="00581F1F" w:rsidRDefault="005F0379" w:rsidP="005F0379">
      <w:pPr>
        <w:pStyle w:val="Default"/>
        <w:rPr>
          <w:b/>
          <w:sz w:val="20"/>
          <w:szCs w:val="20"/>
        </w:rPr>
      </w:pPr>
    </w:p>
    <w:p w:rsidR="005F0379" w:rsidRPr="00581F1F" w:rsidRDefault="005F0379" w:rsidP="005F0379">
      <w:pPr>
        <w:pStyle w:val="Default"/>
        <w:numPr>
          <w:ilvl w:val="0"/>
          <w:numId w:val="25"/>
        </w:numPr>
        <w:rPr>
          <w:b/>
          <w:sz w:val="20"/>
          <w:szCs w:val="20"/>
          <w:u w:val="single"/>
        </w:rPr>
      </w:pPr>
      <w:r w:rsidRPr="00581F1F">
        <w:rPr>
          <w:b/>
          <w:sz w:val="20"/>
          <w:szCs w:val="20"/>
          <w:u w:val="single"/>
        </w:rPr>
        <w:t>Efectivo y equivalentes</w:t>
      </w:r>
    </w:p>
    <w:p w:rsidR="005F0379" w:rsidRPr="00581F1F" w:rsidRDefault="005F0379" w:rsidP="009306CB">
      <w:pPr>
        <w:pStyle w:val="Default"/>
        <w:jc w:val="both"/>
        <w:rPr>
          <w:sz w:val="20"/>
          <w:szCs w:val="20"/>
        </w:rPr>
      </w:pPr>
      <w:r w:rsidRPr="00581F1F">
        <w:rPr>
          <w:sz w:val="20"/>
          <w:szCs w:val="20"/>
        </w:rPr>
        <w:t xml:space="preserve">Este rubro se integra de la siguiente manera al </w:t>
      </w:r>
      <w:r w:rsidR="00AC66EF">
        <w:rPr>
          <w:sz w:val="20"/>
          <w:szCs w:val="20"/>
        </w:rPr>
        <w:t>3</w:t>
      </w:r>
      <w:r w:rsidR="006A0E8D">
        <w:rPr>
          <w:sz w:val="20"/>
          <w:szCs w:val="20"/>
        </w:rPr>
        <w:t>0</w:t>
      </w:r>
      <w:r w:rsidRPr="00581F1F">
        <w:rPr>
          <w:sz w:val="20"/>
          <w:szCs w:val="20"/>
        </w:rPr>
        <w:t xml:space="preserve"> de </w:t>
      </w:r>
      <w:r w:rsidR="006A0E8D">
        <w:rPr>
          <w:sz w:val="20"/>
          <w:szCs w:val="20"/>
        </w:rPr>
        <w:t>junio</w:t>
      </w:r>
      <w:r w:rsidRPr="00581F1F">
        <w:rPr>
          <w:sz w:val="20"/>
          <w:szCs w:val="20"/>
        </w:rPr>
        <w:t xml:space="preserve"> de 20</w:t>
      </w:r>
      <w:r w:rsidR="00F63FF7">
        <w:rPr>
          <w:sz w:val="20"/>
          <w:szCs w:val="20"/>
        </w:rPr>
        <w:t>20</w:t>
      </w:r>
      <w:r w:rsidRPr="00581F1F">
        <w:rPr>
          <w:sz w:val="20"/>
          <w:szCs w:val="20"/>
        </w:rPr>
        <w:t xml:space="preserve"> y </w:t>
      </w:r>
      <w:r w:rsidR="006E4CA2" w:rsidRPr="00581F1F">
        <w:rPr>
          <w:sz w:val="20"/>
          <w:szCs w:val="20"/>
        </w:rPr>
        <w:t xml:space="preserve">31 de diciembre de </w:t>
      </w:r>
      <w:r w:rsidRPr="00581F1F">
        <w:rPr>
          <w:sz w:val="20"/>
          <w:szCs w:val="20"/>
        </w:rPr>
        <w:t>201</w:t>
      </w:r>
      <w:r w:rsidR="00F63FF7">
        <w:rPr>
          <w:sz w:val="20"/>
          <w:szCs w:val="20"/>
        </w:rPr>
        <w:t>9</w:t>
      </w:r>
      <w:r w:rsidRPr="00581F1F">
        <w:rPr>
          <w:sz w:val="20"/>
          <w:szCs w:val="20"/>
        </w:rPr>
        <w:t>:</w:t>
      </w:r>
    </w:p>
    <w:p w:rsidR="005F0379" w:rsidRPr="00581F1F" w:rsidRDefault="005F0379" w:rsidP="005F0379">
      <w:pPr>
        <w:pStyle w:val="Default"/>
        <w:ind w:left="360"/>
        <w:rPr>
          <w:sz w:val="20"/>
          <w:szCs w:val="20"/>
        </w:rPr>
      </w:pPr>
    </w:p>
    <w:tbl>
      <w:tblPr>
        <w:tblW w:w="0" w:type="auto"/>
        <w:tblCellMar>
          <w:left w:w="70" w:type="dxa"/>
          <w:right w:w="70" w:type="dxa"/>
        </w:tblCellMar>
        <w:tblLook w:val="04A0" w:firstRow="1" w:lastRow="0" w:firstColumn="1" w:lastColumn="0" w:noHBand="0" w:noVBand="1"/>
      </w:tblPr>
      <w:tblGrid>
        <w:gridCol w:w="1166"/>
        <w:gridCol w:w="869"/>
        <w:gridCol w:w="173"/>
        <w:gridCol w:w="146"/>
        <w:gridCol w:w="1375"/>
        <w:gridCol w:w="146"/>
        <w:gridCol w:w="1597"/>
      </w:tblGrid>
      <w:tr w:rsidR="005F0379" w:rsidRPr="00581F1F" w:rsidTr="009D65E6">
        <w:trPr>
          <w:trHeight w:val="300"/>
        </w:trPr>
        <w:tc>
          <w:tcPr>
            <w:tcW w:w="0" w:type="auto"/>
            <w:tcBorders>
              <w:top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F63FF7">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F63FF7">
              <w:rPr>
                <w:rFonts w:ascii="Arial" w:hAnsi="Arial" w:cs="Arial"/>
                <w:b/>
                <w:bCs/>
                <w:color w:val="000000"/>
                <w:sz w:val="20"/>
                <w:szCs w:val="20"/>
                <w:u w:val="single"/>
                <w:lang w:val="es-MX" w:eastAsia="es-MX"/>
              </w:rPr>
              <w:t>20</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F63FF7">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F63FF7">
              <w:rPr>
                <w:rFonts w:ascii="Arial" w:hAnsi="Arial" w:cs="Arial"/>
                <w:b/>
                <w:bCs/>
                <w:color w:val="000000"/>
                <w:sz w:val="20"/>
                <w:szCs w:val="20"/>
                <w:u w:val="single"/>
                <w:lang w:val="es-MX" w:eastAsia="es-MX"/>
              </w:rPr>
              <w:t>9</w:t>
            </w:r>
          </w:p>
        </w:tc>
      </w:tr>
      <w:tr w:rsidR="005F0379" w:rsidRPr="00581F1F" w:rsidTr="009D65E6">
        <w:trPr>
          <w:trHeight w:val="285"/>
        </w:trPr>
        <w:tc>
          <w:tcPr>
            <w:tcW w:w="0" w:type="auto"/>
            <w:tcBorders>
              <w:top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r>
      <w:tr w:rsidR="005F0379" w:rsidRPr="00581F1F" w:rsidTr="009D65E6">
        <w:trPr>
          <w:trHeight w:val="285"/>
        </w:trPr>
        <w:tc>
          <w:tcPr>
            <w:tcW w:w="0" w:type="auto"/>
            <w:gridSpan w:val="2"/>
            <w:tcBorders>
              <w:top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r w:rsidRPr="00581F1F">
              <w:rPr>
                <w:rFonts w:ascii="Arial" w:hAnsi="Arial" w:cs="Arial"/>
                <w:color w:val="000000"/>
                <w:sz w:val="20"/>
                <w:szCs w:val="20"/>
                <w:lang w:val="es-MX" w:eastAsia="es-MX"/>
              </w:rPr>
              <w:t>Bancos/Tesorería</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6E4C7E" w:rsidP="006A0E8D">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6A0E8D">
              <w:rPr>
                <w:rFonts w:ascii="Arial" w:hAnsi="Arial" w:cs="Arial"/>
                <w:color w:val="000000"/>
                <w:sz w:val="20"/>
                <w:szCs w:val="20"/>
                <w:lang w:val="es-MX" w:eastAsia="es-MX"/>
              </w:rPr>
              <w:t>623</w:t>
            </w:r>
            <w:r w:rsidR="00633C92">
              <w:rPr>
                <w:rFonts w:ascii="Arial" w:hAnsi="Arial" w:cs="Arial"/>
                <w:color w:val="000000"/>
                <w:sz w:val="20"/>
                <w:szCs w:val="20"/>
                <w:lang w:val="es-MX" w:eastAsia="es-MX"/>
              </w:rPr>
              <w:t>,</w:t>
            </w:r>
            <w:r w:rsidR="006A0E8D">
              <w:rPr>
                <w:rFonts w:ascii="Arial" w:hAnsi="Arial" w:cs="Arial"/>
                <w:color w:val="000000"/>
                <w:sz w:val="20"/>
                <w:szCs w:val="20"/>
                <w:lang w:val="es-MX" w:eastAsia="es-MX"/>
              </w:rPr>
              <w:t>904</w:t>
            </w:r>
            <w:r w:rsidR="00504EE2" w:rsidRPr="00581F1F">
              <w:rPr>
                <w:rFonts w:ascii="Arial" w:hAnsi="Arial" w:cs="Arial"/>
                <w:color w:val="000000"/>
                <w:sz w:val="20"/>
                <w:szCs w:val="20"/>
                <w:lang w:val="es-MX" w:eastAsia="es-MX"/>
              </w:rPr>
              <w:t xml:space="preserve"> </w:t>
            </w:r>
            <w:r w:rsidR="005F0379"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16350B" w:rsidP="00F63FF7">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F63FF7">
              <w:rPr>
                <w:rFonts w:ascii="Arial" w:hAnsi="Arial" w:cs="Arial"/>
                <w:color w:val="000000"/>
                <w:sz w:val="20"/>
                <w:szCs w:val="20"/>
                <w:lang w:val="es-MX" w:eastAsia="es-MX"/>
              </w:rPr>
              <w:t>90</w:t>
            </w:r>
            <w:r w:rsidR="00504EE2" w:rsidRPr="00581F1F">
              <w:rPr>
                <w:rFonts w:ascii="Arial" w:hAnsi="Arial" w:cs="Arial"/>
                <w:color w:val="000000"/>
                <w:sz w:val="20"/>
                <w:szCs w:val="20"/>
                <w:lang w:val="es-MX" w:eastAsia="es-MX"/>
              </w:rPr>
              <w:t>,</w:t>
            </w:r>
            <w:r w:rsidR="00F63FF7">
              <w:rPr>
                <w:rFonts w:ascii="Arial" w:hAnsi="Arial" w:cs="Arial"/>
                <w:color w:val="000000"/>
                <w:sz w:val="20"/>
                <w:szCs w:val="20"/>
                <w:lang w:val="es-MX" w:eastAsia="es-MX"/>
              </w:rPr>
              <w:t>744</w:t>
            </w:r>
            <w:r w:rsidR="005F0379" w:rsidRPr="00581F1F">
              <w:rPr>
                <w:rFonts w:ascii="Arial" w:hAnsi="Arial" w:cs="Arial"/>
                <w:color w:val="000000"/>
                <w:sz w:val="20"/>
                <w:szCs w:val="20"/>
                <w:lang w:val="es-MX" w:eastAsia="es-MX"/>
              </w:rPr>
              <w:t xml:space="preserve"> </w:t>
            </w:r>
          </w:p>
        </w:tc>
      </w:tr>
      <w:tr w:rsidR="002B3714" w:rsidRPr="00581F1F" w:rsidTr="002012CB">
        <w:trPr>
          <w:trHeight w:val="285"/>
        </w:trPr>
        <w:tc>
          <w:tcPr>
            <w:tcW w:w="0" w:type="auto"/>
            <w:gridSpan w:val="3"/>
            <w:tcBorders>
              <w:top w:val="nil"/>
              <w:bottom w:val="nil"/>
              <w:right w:val="nil"/>
            </w:tcBorders>
            <w:shd w:val="clear" w:color="auto" w:fill="auto"/>
            <w:noWrap/>
            <w:vAlign w:val="bottom"/>
          </w:tcPr>
          <w:p w:rsidR="002B3714" w:rsidRPr="00581F1F" w:rsidRDefault="002B3714" w:rsidP="002012CB">
            <w:pPr>
              <w:rPr>
                <w:rFonts w:ascii="Arial" w:hAnsi="Arial" w:cs="Arial"/>
                <w:color w:val="000000"/>
                <w:sz w:val="20"/>
                <w:szCs w:val="20"/>
                <w:lang w:val="es-MX" w:eastAsia="es-MX"/>
              </w:rPr>
            </w:pPr>
            <w:r>
              <w:rPr>
                <w:rFonts w:ascii="Arial" w:hAnsi="Arial" w:cs="Arial"/>
                <w:color w:val="000000"/>
                <w:sz w:val="20"/>
                <w:szCs w:val="20"/>
                <w:lang w:val="es-MX" w:eastAsia="es-MX"/>
              </w:rPr>
              <w:t>Inversiones temporales</w:t>
            </w:r>
          </w:p>
        </w:tc>
        <w:tc>
          <w:tcPr>
            <w:tcW w:w="0" w:type="auto"/>
            <w:tcBorders>
              <w:top w:val="nil"/>
              <w:left w:val="nil"/>
              <w:bottom w:val="nil"/>
              <w:right w:val="nil"/>
            </w:tcBorders>
            <w:shd w:val="clear" w:color="auto" w:fill="auto"/>
            <w:noWrap/>
            <w:vAlign w:val="bottom"/>
          </w:tcPr>
          <w:p w:rsidR="002B3714" w:rsidRPr="00581F1F" w:rsidRDefault="002B3714" w:rsidP="002012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2B3714" w:rsidRPr="00581F1F" w:rsidRDefault="006A0E8D" w:rsidP="006A0E8D">
            <w:pPr>
              <w:jc w:val="right"/>
              <w:rPr>
                <w:rFonts w:ascii="Arial" w:hAnsi="Arial" w:cs="Arial"/>
                <w:color w:val="000000"/>
                <w:sz w:val="20"/>
                <w:szCs w:val="20"/>
                <w:lang w:val="es-MX" w:eastAsia="es-MX"/>
              </w:rPr>
            </w:pPr>
            <w:r>
              <w:rPr>
                <w:rFonts w:ascii="Arial" w:hAnsi="Arial" w:cs="Arial"/>
                <w:color w:val="000000"/>
                <w:sz w:val="20"/>
                <w:szCs w:val="20"/>
                <w:lang w:val="es-MX" w:eastAsia="es-MX"/>
              </w:rPr>
              <w:t>7</w:t>
            </w:r>
            <w:r w:rsidR="00FA32E3">
              <w:rPr>
                <w:rFonts w:ascii="Arial" w:hAnsi="Arial" w:cs="Arial"/>
                <w:color w:val="000000"/>
                <w:sz w:val="20"/>
                <w:szCs w:val="20"/>
                <w:lang w:val="es-MX" w:eastAsia="es-MX"/>
              </w:rPr>
              <w:t>4</w:t>
            </w:r>
            <w:r w:rsidR="00633C92">
              <w:rPr>
                <w:rFonts w:ascii="Arial" w:hAnsi="Arial" w:cs="Arial"/>
                <w:color w:val="000000"/>
                <w:sz w:val="20"/>
                <w:szCs w:val="20"/>
                <w:lang w:val="es-MX" w:eastAsia="es-MX"/>
              </w:rPr>
              <w:t>´</w:t>
            </w:r>
            <w:r>
              <w:rPr>
                <w:rFonts w:ascii="Arial" w:hAnsi="Arial" w:cs="Arial"/>
                <w:color w:val="000000"/>
                <w:sz w:val="20"/>
                <w:szCs w:val="20"/>
                <w:lang w:val="es-MX" w:eastAsia="es-MX"/>
              </w:rPr>
              <w:t>635</w:t>
            </w:r>
            <w:r w:rsidR="00633C92">
              <w:rPr>
                <w:rFonts w:ascii="Arial" w:hAnsi="Arial" w:cs="Arial"/>
                <w:color w:val="000000"/>
                <w:sz w:val="20"/>
                <w:szCs w:val="20"/>
                <w:lang w:val="es-MX" w:eastAsia="es-MX"/>
              </w:rPr>
              <w:t>,</w:t>
            </w:r>
            <w:r>
              <w:rPr>
                <w:rFonts w:ascii="Arial" w:hAnsi="Arial" w:cs="Arial"/>
                <w:color w:val="000000"/>
                <w:sz w:val="20"/>
                <w:szCs w:val="20"/>
                <w:lang w:val="es-MX" w:eastAsia="es-MX"/>
              </w:rPr>
              <w:t>547</w:t>
            </w:r>
          </w:p>
        </w:tc>
        <w:tc>
          <w:tcPr>
            <w:tcW w:w="0" w:type="auto"/>
            <w:tcBorders>
              <w:top w:val="nil"/>
              <w:left w:val="nil"/>
              <w:bottom w:val="nil"/>
              <w:right w:val="nil"/>
            </w:tcBorders>
            <w:shd w:val="clear" w:color="auto" w:fill="auto"/>
            <w:noWrap/>
            <w:vAlign w:val="bottom"/>
          </w:tcPr>
          <w:p w:rsidR="002B3714" w:rsidRPr="00581F1F" w:rsidRDefault="002B3714" w:rsidP="002012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2B3714" w:rsidRPr="00581F1F" w:rsidRDefault="00F63FF7" w:rsidP="00F63FF7">
            <w:pPr>
              <w:jc w:val="right"/>
              <w:rPr>
                <w:rFonts w:ascii="Arial" w:hAnsi="Arial" w:cs="Arial"/>
                <w:color w:val="000000"/>
                <w:sz w:val="20"/>
                <w:szCs w:val="20"/>
                <w:lang w:val="es-MX" w:eastAsia="es-MX"/>
              </w:rPr>
            </w:pPr>
            <w:r>
              <w:rPr>
                <w:rFonts w:ascii="Arial" w:hAnsi="Arial" w:cs="Arial"/>
                <w:color w:val="000000"/>
                <w:sz w:val="20"/>
                <w:szCs w:val="20"/>
                <w:lang w:val="es-MX" w:eastAsia="es-MX"/>
              </w:rPr>
              <w:t>109</w:t>
            </w:r>
            <w:r w:rsidR="006248ED">
              <w:rPr>
                <w:rFonts w:ascii="Arial" w:hAnsi="Arial" w:cs="Arial"/>
                <w:color w:val="000000"/>
                <w:sz w:val="20"/>
                <w:szCs w:val="20"/>
                <w:lang w:val="es-MX" w:eastAsia="es-MX"/>
              </w:rPr>
              <w:t>´</w:t>
            </w:r>
            <w:r>
              <w:rPr>
                <w:rFonts w:ascii="Arial" w:hAnsi="Arial" w:cs="Arial"/>
                <w:color w:val="000000"/>
                <w:sz w:val="20"/>
                <w:szCs w:val="20"/>
                <w:lang w:val="es-MX" w:eastAsia="es-MX"/>
              </w:rPr>
              <w:t>265</w:t>
            </w:r>
            <w:r w:rsidR="006248ED">
              <w:rPr>
                <w:rFonts w:ascii="Arial" w:hAnsi="Arial" w:cs="Arial"/>
                <w:color w:val="000000"/>
                <w:sz w:val="20"/>
                <w:szCs w:val="20"/>
                <w:lang w:val="es-MX" w:eastAsia="es-MX"/>
              </w:rPr>
              <w:t>,</w:t>
            </w:r>
            <w:r>
              <w:rPr>
                <w:rFonts w:ascii="Arial" w:hAnsi="Arial" w:cs="Arial"/>
                <w:color w:val="000000"/>
                <w:sz w:val="20"/>
                <w:szCs w:val="20"/>
                <w:lang w:val="es-MX" w:eastAsia="es-MX"/>
              </w:rPr>
              <w:t>925</w:t>
            </w:r>
          </w:p>
        </w:tc>
      </w:tr>
      <w:tr w:rsidR="00EF7488" w:rsidRPr="00581F1F" w:rsidTr="002012CB">
        <w:trPr>
          <w:trHeight w:val="285"/>
        </w:trPr>
        <w:tc>
          <w:tcPr>
            <w:tcW w:w="0" w:type="auto"/>
            <w:gridSpan w:val="3"/>
            <w:tcBorders>
              <w:top w:val="nil"/>
              <w:bottom w:val="nil"/>
              <w:right w:val="nil"/>
            </w:tcBorders>
            <w:shd w:val="clear" w:color="auto" w:fill="auto"/>
            <w:noWrap/>
            <w:vAlign w:val="bottom"/>
          </w:tcPr>
          <w:p w:rsidR="00EF7488" w:rsidRPr="00581F1F" w:rsidRDefault="00504EE2" w:rsidP="002012CB">
            <w:pPr>
              <w:rPr>
                <w:rFonts w:ascii="Arial" w:hAnsi="Arial" w:cs="Arial"/>
                <w:color w:val="000000"/>
                <w:sz w:val="20"/>
                <w:szCs w:val="20"/>
                <w:lang w:val="es-MX" w:eastAsia="es-MX"/>
              </w:rPr>
            </w:pPr>
            <w:r w:rsidRPr="00581F1F">
              <w:rPr>
                <w:rFonts w:ascii="Arial" w:hAnsi="Arial" w:cs="Arial"/>
                <w:color w:val="000000"/>
                <w:sz w:val="20"/>
                <w:szCs w:val="20"/>
                <w:lang w:val="es-MX" w:eastAsia="es-MX"/>
              </w:rPr>
              <w:t>Fondo fijo</w:t>
            </w:r>
            <w:r w:rsidR="007C7F50" w:rsidRPr="00581F1F">
              <w:rPr>
                <w:rFonts w:ascii="Arial" w:hAnsi="Arial" w:cs="Arial"/>
                <w:color w:val="000000"/>
                <w:sz w:val="20"/>
                <w:szCs w:val="20"/>
                <w:lang w:val="es-MX" w:eastAsia="es-MX"/>
              </w:rPr>
              <w:t xml:space="preserve"> de caja</w:t>
            </w:r>
          </w:p>
        </w:tc>
        <w:tc>
          <w:tcPr>
            <w:tcW w:w="0" w:type="auto"/>
            <w:tcBorders>
              <w:top w:val="nil"/>
              <w:left w:val="nil"/>
              <w:bottom w:val="nil"/>
              <w:right w:val="nil"/>
            </w:tcBorders>
            <w:shd w:val="clear" w:color="auto" w:fill="auto"/>
            <w:noWrap/>
            <w:vAlign w:val="bottom"/>
          </w:tcPr>
          <w:p w:rsidR="00EF7488" w:rsidRPr="00581F1F" w:rsidRDefault="00EF7488" w:rsidP="002012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EF7488" w:rsidRPr="00581F1F" w:rsidRDefault="00292D8B" w:rsidP="004C4435">
            <w:pPr>
              <w:jc w:val="right"/>
              <w:rPr>
                <w:rFonts w:ascii="Arial" w:hAnsi="Arial" w:cs="Arial"/>
                <w:color w:val="000000"/>
                <w:sz w:val="20"/>
                <w:szCs w:val="20"/>
                <w:lang w:val="es-MX" w:eastAsia="es-MX"/>
              </w:rPr>
            </w:pPr>
            <w:r>
              <w:rPr>
                <w:rFonts w:ascii="Arial" w:hAnsi="Arial" w:cs="Arial"/>
                <w:color w:val="000000"/>
                <w:sz w:val="20"/>
                <w:szCs w:val="20"/>
                <w:lang w:val="es-MX" w:eastAsia="es-MX"/>
              </w:rPr>
              <w:t>0</w:t>
            </w:r>
            <w:r w:rsidR="00504EE2" w:rsidRPr="00581F1F">
              <w:rPr>
                <w:rFonts w:ascii="Arial" w:hAnsi="Arial" w:cs="Arial"/>
                <w:color w:val="000000"/>
                <w:sz w:val="20"/>
                <w:szCs w:val="20"/>
                <w:lang w:val="es-MX" w:eastAsia="es-MX"/>
              </w:rPr>
              <w:t>,000</w:t>
            </w:r>
          </w:p>
        </w:tc>
        <w:tc>
          <w:tcPr>
            <w:tcW w:w="0" w:type="auto"/>
            <w:tcBorders>
              <w:top w:val="nil"/>
              <w:left w:val="nil"/>
              <w:bottom w:val="nil"/>
              <w:right w:val="nil"/>
            </w:tcBorders>
            <w:shd w:val="clear" w:color="auto" w:fill="auto"/>
            <w:noWrap/>
            <w:vAlign w:val="bottom"/>
          </w:tcPr>
          <w:p w:rsidR="00EF7488" w:rsidRPr="00581F1F" w:rsidRDefault="00EF7488" w:rsidP="002012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EF7488" w:rsidRPr="00581F1F" w:rsidRDefault="00F63FF7" w:rsidP="002012CB">
            <w:pPr>
              <w:jc w:val="right"/>
              <w:rPr>
                <w:rFonts w:ascii="Arial" w:hAnsi="Arial" w:cs="Arial"/>
                <w:color w:val="000000"/>
                <w:sz w:val="20"/>
                <w:szCs w:val="20"/>
                <w:lang w:val="es-MX" w:eastAsia="es-MX"/>
              </w:rPr>
            </w:pPr>
            <w:r>
              <w:rPr>
                <w:rFonts w:ascii="Arial" w:hAnsi="Arial" w:cs="Arial"/>
                <w:color w:val="000000"/>
                <w:sz w:val="20"/>
                <w:szCs w:val="20"/>
                <w:lang w:val="es-MX" w:eastAsia="es-MX"/>
              </w:rPr>
              <w:t>0.00</w:t>
            </w:r>
          </w:p>
        </w:tc>
      </w:tr>
      <w:tr w:rsidR="005F0379" w:rsidRPr="00581F1F" w:rsidTr="009D65E6">
        <w:trPr>
          <w:trHeight w:val="315"/>
        </w:trPr>
        <w:tc>
          <w:tcPr>
            <w:tcW w:w="0" w:type="auto"/>
            <w:tcBorders>
              <w:top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F0379" w:rsidRPr="00581F1F" w:rsidRDefault="006E4C7E" w:rsidP="006A0E8D">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6A0E8D">
              <w:rPr>
                <w:rFonts w:ascii="Arial" w:hAnsi="Arial" w:cs="Arial"/>
                <w:b/>
                <w:bCs/>
                <w:color w:val="000000"/>
                <w:sz w:val="20"/>
                <w:szCs w:val="20"/>
                <w:lang w:val="es-MX" w:eastAsia="es-MX"/>
              </w:rPr>
              <w:t>7</w:t>
            </w:r>
            <w:r w:rsidR="00FA32E3">
              <w:rPr>
                <w:rFonts w:ascii="Arial" w:hAnsi="Arial" w:cs="Arial"/>
                <w:b/>
                <w:bCs/>
                <w:color w:val="000000"/>
                <w:sz w:val="20"/>
                <w:szCs w:val="20"/>
                <w:lang w:val="es-MX" w:eastAsia="es-MX"/>
              </w:rPr>
              <w:t>5</w:t>
            </w:r>
            <w:r w:rsidR="004C4435">
              <w:rPr>
                <w:rFonts w:ascii="Arial" w:hAnsi="Arial" w:cs="Arial"/>
                <w:b/>
                <w:bCs/>
                <w:color w:val="000000"/>
                <w:sz w:val="20"/>
                <w:szCs w:val="20"/>
                <w:lang w:val="es-MX" w:eastAsia="es-MX"/>
              </w:rPr>
              <w:t>´</w:t>
            </w:r>
            <w:r w:rsidR="006A0E8D">
              <w:rPr>
                <w:rFonts w:ascii="Arial" w:hAnsi="Arial" w:cs="Arial"/>
                <w:b/>
                <w:bCs/>
                <w:color w:val="000000"/>
                <w:sz w:val="20"/>
                <w:szCs w:val="20"/>
                <w:lang w:val="es-MX" w:eastAsia="es-MX"/>
              </w:rPr>
              <w:t>259</w:t>
            </w:r>
            <w:r w:rsidR="004C4435">
              <w:rPr>
                <w:rFonts w:ascii="Arial" w:hAnsi="Arial" w:cs="Arial"/>
                <w:b/>
                <w:bCs/>
                <w:color w:val="000000"/>
                <w:sz w:val="20"/>
                <w:szCs w:val="20"/>
                <w:lang w:val="es-MX" w:eastAsia="es-MX"/>
              </w:rPr>
              <w:t>,</w:t>
            </w:r>
            <w:r w:rsidR="006A0E8D">
              <w:rPr>
                <w:rFonts w:ascii="Arial" w:hAnsi="Arial" w:cs="Arial"/>
                <w:b/>
                <w:bCs/>
                <w:color w:val="000000"/>
                <w:sz w:val="20"/>
                <w:szCs w:val="20"/>
                <w:lang w:val="es-MX" w:eastAsia="es-MX"/>
              </w:rPr>
              <w:t>451</w:t>
            </w:r>
          </w:p>
        </w:tc>
        <w:tc>
          <w:tcPr>
            <w:tcW w:w="0" w:type="auto"/>
            <w:tcBorders>
              <w:top w:val="nil"/>
              <w:left w:val="nil"/>
              <w:bottom w:val="nil"/>
              <w:right w:val="nil"/>
            </w:tcBorders>
            <w:shd w:val="clear" w:color="auto" w:fill="auto"/>
            <w:noWrap/>
            <w:vAlign w:val="bottom"/>
            <w:hideMark/>
          </w:tcPr>
          <w:p w:rsidR="005F0379" w:rsidRPr="00581F1F" w:rsidRDefault="005F0379" w:rsidP="005F0379">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tcPr>
          <w:p w:rsidR="005F0379" w:rsidRPr="00581F1F" w:rsidRDefault="00BB18E5" w:rsidP="008304A8">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504EE2" w:rsidRPr="00581F1F">
              <w:rPr>
                <w:rFonts w:ascii="Arial" w:hAnsi="Arial" w:cs="Arial"/>
                <w:b/>
                <w:bCs/>
                <w:color w:val="000000"/>
                <w:sz w:val="20"/>
                <w:szCs w:val="20"/>
                <w:lang w:val="es-MX" w:eastAsia="es-MX"/>
              </w:rPr>
              <w:t xml:space="preserve">   </w:t>
            </w:r>
            <w:r w:rsidR="008304A8">
              <w:rPr>
                <w:rFonts w:ascii="Arial" w:hAnsi="Arial" w:cs="Arial"/>
                <w:b/>
                <w:bCs/>
                <w:color w:val="000000"/>
                <w:sz w:val="20"/>
                <w:szCs w:val="20"/>
                <w:lang w:val="es-MX" w:eastAsia="es-MX"/>
              </w:rPr>
              <w:t>93</w:t>
            </w:r>
            <w:r w:rsidR="004C4435">
              <w:rPr>
                <w:rFonts w:ascii="Arial" w:hAnsi="Arial" w:cs="Arial"/>
                <w:b/>
                <w:bCs/>
                <w:color w:val="000000"/>
                <w:sz w:val="20"/>
                <w:szCs w:val="20"/>
                <w:lang w:val="es-MX" w:eastAsia="es-MX"/>
              </w:rPr>
              <w:t>´</w:t>
            </w:r>
            <w:r w:rsidR="008304A8">
              <w:rPr>
                <w:rFonts w:ascii="Arial" w:hAnsi="Arial" w:cs="Arial"/>
                <w:b/>
                <w:bCs/>
                <w:color w:val="000000"/>
                <w:sz w:val="20"/>
                <w:szCs w:val="20"/>
                <w:lang w:val="es-MX" w:eastAsia="es-MX"/>
              </w:rPr>
              <w:t>599</w:t>
            </w:r>
            <w:r w:rsidR="004C4435">
              <w:rPr>
                <w:rFonts w:ascii="Arial" w:hAnsi="Arial" w:cs="Arial"/>
                <w:b/>
                <w:bCs/>
                <w:color w:val="000000"/>
                <w:sz w:val="20"/>
                <w:szCs w:val="20"/>
                <w:lang w:val="es-MX" w:eastAsia="es-MX"/>
              </w:rPr>
              <w:t>,</w:t>
            </w:r>
            <w:r w:rsidR="008304A8">
              <w:rPr>
                <w:rFonts w:ascii="Arial" w:hAnsi="Arial" w:cs="Arial"/>
                <w:b/>
                <w:bCs/>
                <w:color w:val="000000"/>
                <w:sz w:val="20"/>
                <w:szCs w:val="20"/>
                <w:lang w:val="es-MX" w:eastAsia="es-MX"/>
              </w:rPr>
              <w:t>471</w:t>
            </w:r>
          </w:p>
        </w:tc>
      </w:tr>
    </w:tbl>
    <w:p w:rsidR="000C6040" w:rsidRPr="00581F1F" w:rsidRDefault="000C6040" w:rsidP="003B4142">
      <w:pPr>
        <w:pStyle w:val="Default"/>
        <w:rPr>
          <w:sz w:val="20"/>
          <w:szCs w:val="20"/>
        </w:rPr>
      </w:pPr>
    </w:p>
    <w:p w:rsidR="007B3D0E" w:rsidRDefault="007B3D0E" w:rsidP="002B3714">
      <w:pPr>
        <w:jc w:val="both"/>
        <w:rPr>
          <w:rFonts w:ascii="Arial" w:hAnsi="Arial" w:cs="Arial"/>
          <w:sz w:val="20"/>
          <w:szCs w:val="20"/>
        </w:rPr>
      </w:pPr>
    </w:p>
    <w:p w:rsidR="00292D8B" w:rsidRDefault="006A0E8D" w:rsidP="002B3714">
      <w:pPr>
        <w:jc w:val="both"/>
        <w:rPr>
          <w:rFonts w:ascii="Arial" w:hAnsi="Arial" w:cs="Arial"/>
          <w:sz w:val="20"/>
          <w:szCs w:val="20"/>
        </w:rPr>
      </w:pPr>
      <w:r>
        <w:rPr>
          <w:rFonts w:ascii="Arial" w:hAnsi="Arial" w:cs="Arial"/>
          <w:sz w:val="20"/>
          <w:szCs w:val="20"/>
        </w:rPr>
        <w:t>L</w:t>
      </w:r>
      <w:r w:rsidR="008248E9" w:rsidRPr="00EA2A73">
        <w:rPr>
          <w:rFonts w:ascii="Arial" w:hAnsi="Arial" w:cs="Arial"/>
          <w:sz w:val="20"/>
          <w:szCs w:val="20"/>
        </w:rPr>
        <w:t xml:space="preserve">as inversiones están representadas principalmente por inversión en </w:t>
      </w:r>
      <w:r w:rsidR="004C4435">
        <w:rPr>
          <w:rFonts w:ascii="Arial" w:hAnsi="Arial" w:cs="Arial"/>
          <w:sz w:val="20"/>
          <w:szCs w:val="20"/>
        </w:rPr>
        <w:t>valores gubernamentales</w:t>
      </w:r>
      <w:r w:rsidR="00292D8B">
        <w:rPr>
          <w:rFonts w:ascii="Arial" w:hAnsi="Arial" w:cs="Arial"/>
          <w:sz w:val="20"/>
          <w:szCs w:val="20"/>
        </w:rPr>
        <w:t>.</w:t>
      </w:r>
    </w:p>
    <w:tbl>
      <w:tblPr>
        <w:tblpPr w:leftFromText="141" w:rightFromText="141" w:vertAnchor="text" w:horzAnchor="margin" w:tblpXSpec="center" w:tblpY="69"/>
        <w:tblW w:w="0" w:type="auto"/>
        <w:tblCellMar>
          <w:left w:w="70" w:type="dxa"/>
          <w:right w:w="70" w:type="dxa"/>
        </w:tblCellMar>
        <w:tblLook w:val="04A0" w:firstRow="1" w:lastRow="0" w:firstColumn="1" w:lastColumn="0" w:noHBand="0" w:noVBand="1"/>
      </w:tblPr>
      <w:tblGrid>
        <w:gridCol w:w="1330"/>
        <w:gridCol w:w="160"/>
        <w:gridCol w:w="919"/>
      </w:tblGrid>
      <w:tr w:rsidR="00E90D94" w:rsidRPr="00581F1F" w:rsidTr="00E90D94">
        <w:trPr>
          <w:trHeight w:val="300"/>
        </w:trPr>
        <w:tc>
          <w:tcPr>
            <w:tcW w:w="1330" w:type="dxa"/>
            <w:tcBorders>
              <w:top w:val="nil"/>
              <w:left w:val="nil"/>
              <w:bottom w:val="nil"/>
              <w:right w:val="nil"/>
            </w:tcBorders>
            <w:shd w:val="clear" w:color="auto" w:fill="auto"/>
            <w:noWrap/>
            <w:vAlign w:val="bottom"/>
            <w:hideMark/>
          </w:tcPr>
          <w:p w:rsidR="00E90D94" w:rsidRPr="00581F1F" w:rsidRDefault="00E90D94"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20</w:t>
            </w:r>
          </w:p>
        </w:tc>
        <w:tc>
          <w:tcPr>
            <w:tcW w:w="160" w:type="dxa"/>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BC66BB">
              <w:rPr>
                <w:rFonts w:ascii="Arial" w:hAnsi="Arial" w:cs="Arial"/>
                <w:b/>
                <w:bCs/>
                <w:color w:val="000000"/>
                <w:sz w:val="20"/>
                <w:szCs w:val="20"/>
                <w:u w:val="single"/>
                <w:lang w:val="es-MX" w:eastAsia="es-MX"/>
              </w:rPr>
              <w:t>9</w:t>
            </w:r>
          </w:p>
        </w:tc>
      </w:tr>
      <w:tr w:rsidR="00E90D94" w:rsidRPr="00581F1F" w:rsidTr="00E90D94">
        <w:trPr>
          <w:trHeight w:val="285"/>
        </w:trPr>
        <w:tc>
          <w:tcPr>
            <w:tcW w:w="1330" w:type="dxa"/>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16"/>
                <w:szCs w:val="16"/>
                <w:lang w:val="es-MX" w:eastAsia="es-MX"/>
              </w:rPr>
            </w:pPr>
          </w:p>
        </w:tc>
      </w:tr>
      <w:tr w:rsidR="00E90D94" w:rsidRPr="00581F1F" w:rsidTr="00E90D94">
        <w:trPr>
          <w:trHeight w:val="285"/>
        </w:trPr>
        <w:tc>
          <w:tcPr>
            <w:tcW w:w="1330" w:type="dxa"/>
            <w:tcBorders>
              <w:top w:val="nil"/>
              <w:left w:val="nil"/>
              <w:bottom w:val="nil"/>
              <w:right w:val="nil"/>
            </w:tcBorders>
            <w:shd w:val="clear" w:color="auto" w:fill="auto"/>
            <w:noWrap/>
            <w:vAlign w:val="bottom"/>
            <w:hideMark/>
          </w:tcPr>
          <w:p w:rsidR="00E90D94" w:rsidRPr="00581F1F" w:rsidRDefault="00E90D94" w:rsidP="00E90D94">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Pr>
                <w:rFonts w:ascii="Arial" w:hAnsi="Arial" w:cs="Arial"/>
                <w:color w:val="000000"/>
                <w:sz w:val="20"/>
                <w:szCs w:val="20"/>
                <w:lang w:val="es-MX" w:eastAsia="es-MX"/>
              </w:rPr>
              <w:t>11</w:t>
            </w:r>
            <w:r w:rsidRPr="00581F1F">
              <w:rPr>
                <w:rFonts w:ascii="Arial" w:hAnsi="Arial" w:cs="Arial"/>
                <w:color w:val="000000"/>
                <w:sz w:val="20"/>
                <w:szCs w:val="20"/>
                <w:lang w:val="es-MX" w:eastAsia="es-MX"/>
              </w:rPr>
              <w:t>,</w:t>
            </w:r>
            <w:r>
              <w:rPr>
                <w:rFonts w:ascii="Arial" w:hAnsi="Arial" w:cs="Arial"/>
                <w:color w:val="000000"/>
                <w:sz w:val="20"/>
                <w:szCs w:val="20"/>
                <w:lang w:val="es-MX" w:eastAsia="es-MX"/>
              </w:rPr>
              <w:t>000.</w:t>
            </w:r>
          </w:p>
        </w:tc>
        <w:tc>
          <w:tcPr>
            <w:tcW w:w="160" w:type="dxa"/>
            <w:tcBorders>
              <w:top w:val="nil"/>
              <w:left w:val="nil"/>
              <w:bottom w:val="nil"/>
              <w:right w:val="nil"/>
            </w:tcBorders>
            <w:shd w:val="clear" w:color="auto" w:fill="auto"/>
            <w:noWrap/>
            <w:vAlign w:val="bottom"/>
            <w:hideMark/>
          </w:tcPr>
          <w:p w:rsidR="00E90D94" w:rsidRPr="00581F1F" w:rsidRDefault="00E90D94" w:rsidP="00E90D94">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F63FF7">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F63FF7">
              <w:rPr>
                <w:rFonts w:ascii="Arial" w:hAnsi="Arial" w:cs="Arial"/>
                <w:color w:val="000000"/>
                <w:sz w:val="20"/>
                <w:szCs w:val="20"/>
                <w:lang w:val="es-MX" w:eastAsia="es-MX"/>
              </w:rPr>
              <w:t>11</w:t>
            </w:r>
            <w:r w:rsidRPr="00581F1F">
              <w:rPr>
                <w:rFonts w:ascii="Arial" w:hAnsi="Arial" w:cs="Arial"/>
                <w:color w:val="000000"/>
                <w:sz w:val="20"/>
                <w:szCs w:val="20"/>
                <w:lang w:val="es-MX" w:eastAsia="es-MX"/>
              </w:rPr>
              <w:t>,</w:t>
            </w:r>
            <w:r w:rsidR="00F63FF7">
              <w:rPr>
                <w:rFonts w:ascii="Arial" w:hAnsi="Arial" w:cs="Arial"/>
                <w:color w:val="000000"/>
                <w:sz w:val="20"/>
                <w:szCs w:val="20"/>
                <w:lang w:val="es-MX" w:eastAsia="es-MX"/>
              </w:rPr>
              <w:t>0</w:t>
            </w:r>
            <w:r>
              <w:rPr>
                <w:rFonts w:ascii="Arial" w:hAnsi="Arial" w:cs="Arial"/>
                <w:color w:val="000000"/>
                <w:sz w:val="20"/>
                <w:szCs w:val="20"/>
                <w:lang w:val="es-MX" w:eastAsia="es-MX"/>
              </w:rPr>
              <w:t>00</w:t>
            </w:r>
          </w:p>
        </w:tc>
      </w:tr>
    </w:tbl>
    <w:p w:rsidR="00292D8B" w:rsidRDefault="00292D8B" w:rsidP="002B3714">
      <w:pPr>
        <w:jc w:val="both"/>
        <w:rPr>
          <w:rFonts w:ascii="Arial" w:hAnsi="Arial" w:cs="Arial"/>
          <w:sz w:val="20"/>
          <w:szCs w:val="20"/>
        </w:rPr>
      </w:pPr>
    </w:p>
    <w:p w:rsidR="00E90D94" w:rsidRDefault="00292D8B" w:rsidP="002B3714">
      <w:pPr>
        <w:jc w:val="both"/>
        <w:rPr>
          <w:rFonts w:ascii="Arial" w:hAnsi="Arial" w:cs="Arial"/>
          <w:b/>
          <w:sz w:val="20"/>
          <w:szCs w:val="20"/>
          <w:u w:val="single"/>
        </w:rPr>
      </w:pPr>
      <w:r>
        <w:rPr>
          <w:rFonts w:ascii="Arial" w:hAnsi="Arial" w:cs="Arial"/>
          <w:sz w:val="20"/>
          <w:szCs w:val="20"/>
        </w:rPr>
        <w:tab/>
      </w:r>
      <w:r>
        <w:rPr>
          <w:rFonts w:ascii="Arial" w:hAnsi="Arial" w:cs="Arial"/>
          <w:b/>
          <w:sz w:val="20"/>
          <w:szCs w:val="20"/>
        </w:rPr>
        <w:t>2.</w:t>
      </w:r>
      <w:r>
        <w:rPr>
          <w:rFonts w:ascii="Arial" w:hAnsi="Arial" w:cs="Arial"/>
          <w:sz w:val="20"/>
          <w:szCs w:val="20"/>
        </w:rPr>
        <w:t xml:space="preserve"> </w:t>
      </w:r>
      <w:r>
        <w:rPr>
          <w:rFonts w:ascii="Arial" w:hAnsi="Arial" w:cs="Arial"/>
          <w:b/>
          <w:sz w:val="20"/>
          <w:szCs w:val="20"/>
          <w:u w:val="single"/>
        </w:rPr>
        <w:t>Depósitos en garantía.</w:t>
      </w:r>
      <w:r w:rsidR="00E90D94">
        <w:rPr>
          <w:rFonts w:ascii="Arial" w:hAnsi="Arial" w:cs="Arial"/>
          <w:b/>
          <w:sz w:val="20"/>
          <w:szCs w:val="20"/>
          <w:u w:val="single"/>
        </w:rPr>
        <w:t xml:space="preserve">                           </w:t>
      </w:r>
    </w:p>
    <w:p w:rsidR="00292D8B" w:rsidRDefault="00292D8B" w:rsidP="002B3714">
      <w:pPr>
        <w:jc w:val="both"/>
        <w:rPr>
          <w:rFonts w:ascii="Arial" w:hAnsi="Arial" w:cs="Arial"/>
          <w:b/>
          <w:sz w:val="20"/>
          <w:szCs w:val="20"/>
          <w:u w:val="single"/>
        </w:rPr>
      </w:pPr>
    </w:p>
    <w:p w:rsidR="002B3714" w:rsidRPr="003B4142" w:rsidRDefault="004C4435" w:rsidP="002B3714">
      <w:pPr>
        <w:jc w:val="both"/>
        <w:rPr>
          <w:rFonts w:ascii="Arial" w:hAnsi="Arial" w:cs="Arial"/>
          <w:sz w:val="20"/>
          <w:szCs w:val="20"/>
        </w:rPr>
      </w:pPr>
      <w:r>
        <w:rPr>
          <w:rFonts w:ascii="Arial" w:hAnsi="Arial" w:cs="Arial"/>
          <w:sz w:val="20"/>
          <w:szCs w:val="20"/>
        </w:rPr>
        <w:t xml:space="preserve"> </w:t>
      </w:r>
    </w:p>
    <w:p w:rsidR="00292D8B" w:rsidRDefault="00292D8B" w:rsidP="005F0379">
      <w:pPr>
        <w:pStyle w:val="Default"/>
        <w:ind w:left="360"/>
        <w:rPr>
          <w:sz w:val="20"/>
          <w:szCs w:val="20"/>
          <w:lang w:val="es-ES"/>
        </w:rPr>
      </w:pPr>
      <w:r>
        <w:rPr>
          <w:sz w:val="20"/>
          <w:szCs w:val="20"/>
          <w:lang w:val="es-ES"/>
        </w:rPr>
        <w:tab/>
      </w:r>
      <w:r>
        <w:rPr>
          <w:sz w:val="20"/>
          <w:szCs w:val="20"/>
          <w:lang w:val="es-ES"/>
        </w:rPr>
        <w:tab/>
      </w:r>
      <w:r>
        <w:rPr>
          <w:sz w:val="20"/>
          <w:szCs w:val="20"/>
          <w:lang w:val="es-ES"/>
        </w:rPr>
        <w:tab/>
      </w:r>
      <w:r>
        <w:rPr>
          <w:sz w:val="20"/>
          <w:szCs w:val="20"/>
          <w:lang w:val="es-ES"/>
        </w:rPr>
        <w:tab/>
      </w:r>
    </w:p>
    <w:p w:rsidR="00FB28F4" w:rsidRDefault="00E90D94" w:rsidP="005F0379">
      <w:pPr>
        <w:pStyle w:val="Default"/>
        <w:ind w:left="360"/>
        <w:rPr>
          <w:sz w:val="20"/>
          <w:szCs w:val="20"/>
          <w:lang w:val="es-ES"/>
        </w:rPr>
      </w:pPr>
      <w:r>
        <w:rPr>
          <w:sz w:val="20"/>
          <w:szCs w:val="20"/>
          <w:lang w:val="es-ES"/>
        </w:rPr>
        <w:t xml:space="preserve">En apego en lo estipulado en contrato de arrendamiento celebrado donde se </w:t>
      </w:r>
      <w:r w:rsidR="003667AD">
        <w:rPr>
          <w:sz w:val="20"/>
          <w:szCs w:val="20"/>
          <w:lang w:val="es-ES"/>
        </w:rPr>
        <w:t>ubican</w:t>
      </w:r>
      <w:r>
        <w:rPr>
          <w:sz w:val="20"/>
          <w:szCs w:val="20"/>
          <w:lang w:val="es-ES"/>
        </w:rPr>
        <w:t xml:space="preserve"> las oficinas del fideicomiso, se estableció depósito en garantía con el arrendador.</w:t>
      </w:r>
    </w:p>
    <w:p w:rsidR="00551751" w:rsidRPr="00581F1F" w:rsidRDefault="00551751" w:rsidP="000C6040">
      <w:pPr>
        <w:pStyle w:val="Default"/>
        <w:ind w:left="360"/>
        <w:rPr>
          <w:sz w:val="20"/>
          <w:szCs w:val="20"/>
        </w:rPr>
      </w:pPr>
    </w:p>
    <w:tbl>
      <w:tblPr>
        <w:tblW w:w="6799" w:type="dxa"/>
        <w:tblCellMar>
          <w:left w:w="70" w:type="dxa"/>
          <w:right w:w="70" w:type="dxa"/>
        </w:tblCellMar>
        <w:tblLook w:val="04A0" w:firstRow="1" w:lastRow="0" w:firstColumn="1" w:lastColumn="0" w:noHBand="0" w:noVBand="1"/>
      </w:tblPr>
      <w:tblGrid>
        <w:gridCol w:w="3138"/>
        <w:gridCol w:w="165"/>
        <w:gridCol w:w="156"/>
        <w:gridCol w:w="156"/>
        <w:gridCol w:w="1514"/>
        <w:gridCol w:w="156"/>
        <w:gridCol w:w="1514"/>
      </w:tblGrid>
      <w:tr w:rsidR="00A07E59" w:rsidRPr="00581F1F" w:rsidTr="00722E26">
        <w:trPr>
          <w:trHeight w:val="291"/>
        </w:trPr>
        <w:tc>
          <w:tcPr>
            <w:tcW w:w="0" w:type="auto"/>
            <w:tcBorders>
              <w:top w:val="nil"/>
              <w:bottom w:val="nil"/>
              <w:right w:val="nil"/>
            </w:tcBorders>
            <w:shd w:val="clear" w:color="auto" w:fill="auto"/>
            <w:noWrap/>
            <w:vAlign w:val="bottom"/>
            <w:hideMark/>
          </w:tcPr>
          <w:p w:rsidR="00E90D94" w:rsidRDefault="00551751" w:rsidP="00551751">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p w:rsidR="00E90D94" w:rsidRDefault="00E90D94" w:rsidP="00551751">
            <w:pPr>
              <w:rPr>
                <w:rFonts w:ascii="Arial" w:hAnsi="Arial" w:cs="Arial"/>
                <w:color w:val="000000"/>
                <w:sz w:val="20"/>
                <w:szCs w:val="20"/>
                <w:lang w:val="es-MX" w:eastAsia="es-MX"/>
              </w:rPr>
            </w:pPr>
          </w:p>
          <w:p w:rsidR="00551751" w:rsidRPr="00581F1F" w:rsidRDefault="00A07E59" w:rsidP="00551751">
            <w:pPr>
              <w:rPr>
                <w:rFonts w:ascii="Arial" w:hAnsi="Arial" w:cs="Arial"/>
                <w:color w:val="000000"/>
                <w:sz w:val="20"/>
                <w:szCs w:val="20"/>
                <w:lang w:val="es-MX" w:eastAsia="es-MX"/>
              </w:rPr>
            </w:pPr>
            <w:r>
              <w:rPr>
                <w:rFonts w:ascii="Arial" w:hAnsi="Arial" w:cs="Arial"/>
                <w:color w:val="000000"/>
                <w:sz w:val="20"/>
                <w:szCs w:val="20"/>
                <w:lang w:val="es-MX" w:eastAsia="es-MX"/>
              </w:rPr>
              <w:t>Garantías líquidas otorgadas:</w:t>
            </w: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20</w:t>
            </w: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BC66BB">
              <w:rPr>
                <w:rFonts w:ascii="Arial" w:hAnsi="Arial" w:cs="Arial"/>
                <w:b/>
                <w:bCs/>
                <w:color w:val="000000"/>
                <w:sz w:val="20"/>
                <w:szCs w:val="20"/>
                <w:u w:val="single"/>
                <w:lang w:val="es-MX" w:eastAsia="es-MX"/>
              </w:rPr>
              <w:t>9</w:t>
            </w:r>
          </w:p>
        </w:tc>
      </w:tr>
      <w:tr w:rsidR="00A07E59" w:rsidRPr="00581F1F" w:rsidTr="00722E26">
        <w:trPr>
          <w:trHeight w:val="277"/>
        </w:trPr>
        <w:tc>
          <w:tcPr>
            <w:tcW w:w="0" w:type="auto"/>
            <w:tcBorders>
              <w:top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751" w:rsidRPr="00581F1F" w:rsidRDefault="00551751" w:rsidP="00551751">
            <w:pPr>
              <w:rPr>
                <w:rFonts w:ascii="Arial" w:hAnsi="Arial" w:cs="Arial"/>
                <w:color w:val="000000"/>
                <w:sz w:val="20"/>
                <w:szCs w:val="20"/>
                <w:lang w:val="es-MX" w:eastAsia="es-MX"/>
              </w:rPr>
            </w:pPr>
          </w:p>
        </w:tc>
      </w:tr>
      <w:tr w:rsidR="00504EE2" w:rsidRPr="00581F1F" w:rsidTr="00722E26">
        <w:trPr>
          <w:trHeight w:val="277"/>
        </w:trPr>
        <w:tc>
          <w:tcPr>
            <w:tcW w:w="0" w:type="auto"/>
            <w:gridSpan w:val="3"/>
            <w:tcBorders>
              <w:top w:val="nil"/>
              <w:bottom w:val="nil"/>
              <w:right w:val="nil"/>
            </w:tcBorders>
            <w:shd w:val="clear" w:color="auto" w:fill="auto"/>
            <w:noWrap/>
            <w:vAlign w:val="bottom"/>
            <w:hideMark/>
          </w:tcPr>
          <w:p w:rsidR="00504EE2" w:rsidRPr="00581F1F" w:rsidRDefault="004C4435" w:rsidP="00551751">
            <w:pPr>
              <w:rPr>
                <w:rFonts w:ascii="Arial" w:hAnsi="Arial" w:cs="Arial"/>
                <w:color w:val="000000"/>
                <w:sz w:val="20"/>
                <w:szCs w:val="20"/>
                <w:lang w:val="es-MX" w:eastAsia="es-MX"/>
              </w:rPr>
            </w:pPr>
            <w:r>
              <w:rPr>
                <w:rFonts w:ascii="Arial" w:hAnsi="Arial" w:cs="Arial"/>
                <w:color w:val="000000"/>
                <w:sz w:val="20"/>
                <w:szCs w:val="20"/>
                <w:lang w:val="es-MX" w:eastAsia="es-MX"/>
              </w:rPr>
              <w:t>Garantías Líquidas</w:t>
            </w: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6A0E8D">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4F7FC1" w:rsidRPr="00581F1F">
              <w:rPr>
                <w:rFonts w:ascii="Arial" w:hAnsi="Arial" w:cs="Arial"/>
                <w:color w:val="000000"/>
                <w:sz w:val="20"/>
                <w:szCs w:val="20"/>
                <w:lang w:val="es-MX" w:eastAsia="es-MX"/>
              </w:rPr>
              <w:t xml:space="preserve"> </w:t>
            </w:r>
            <w:r w:rsidR="006A0E8D">
              <w:rPr>
                <w:rFonts w:ascii="Arial" w:hAnsi="Arial" w:cs="Arial"/>
                <w:color w:val="000000"/>
                <w:sz w:val="20"/>
                <w:szCs w:val="20"/>
                <w:lang w:val="es-MX" w:eastAsia="es-MX"/>
              </w:rPr>
              <w:t>4</w:t>
            </w:r>
            <w:r w:rsidR="00B41AF3">
              <w:rPr>
                <w:rFonts w:ascii="Arial" w:hAnsi="Arial" w:cs="Arial"/>
                <w:color w:val="000000"/>
                <w:sz w:val="20"/>
                <w:szCs w:val="20"/>
                <w:lang w:val="es-MX" w:eastAsia="es-MX"/>
              </w:rPr>
              <w:t>0</w:t>
            </w:r>
            <w:r w:rsidRPr="00581F1F">
              <w:rPr>
                <w:rFonts w:ascii="Arial" w:hAnsi="Arial" w:cs="Arial"/>
                <w:color w:val="000000"/>
                <w:sz w:val="20"/>
                <w:szCs w:val="20"/>
                <w:lang w:val="es-MX" w:eastAsia="es-MX"/>
              </w:rPr>
              <w:t>,</w:t>
            </w:r>
            <w:r w:rsidR="006A0E8D">
              <w:rPr>
                <w:rFonts w:ascii="Arial" w:hAnsi="Arial" w:cs="Arial"/>
                <w:color w:val="000000"/>
                <w:sz w:val="20"/>
                <w:szCs w:val="20"/>
                <w:lang w:val="es-MX" w:eastAsia="es-MX"/>
              </w:rPr>
              <w:t>083</w:t>
            </w:r>
            <w:r w:rsidRPr="00581F1F">
              <w:rPr>
                <w:rFonts w:ascii="Arial" w:hAnsi="Arial" w:cs="Arial"/>
                <w:color w:val="000000"/>
                <w:sz w:val="20"/>
                <w:szCs w:val="20"/>
                <w:lang w:val="es-MX" w:eastAsia="es-MX"/>
              </w:rPr>
              <w:t>,</w:t>
            </w:r>
            <w:r w:rsidR="006A0E8D">
              <w:rPr>
                <w:rFonts w:ascii="Arial" w:hAnsi="Arial" w:cs="Arial"/>
                <w:color w:val="000000"/>
                <w:sz w:val="20"/>
                <w:szCs w:val="20"/>
                <w:lang w:val="es-MX" w:eastAsia="es-MX"/>
              </w:rPr>
              <w:t>929</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41</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742</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968</w:t>
            </w:r>
            <w:r w:rsidRPr="00581F1F">
              <w:rPr>
                <w:rFonts w:ascii="Arial" w:hAnsi="Arial" w:cs="Arial"/>
                <w:color w:val="000000"/>
                <w:sz w:val="20"/>
                <w:szCs w:val="20"/>
                <w:lang w:val="es-MX" w:eastAsia="es-MX"/>
              </w:rPr>
              <w:t xml:space="preserve"> </w:t>
            </w:r>
          </w:p>
        </w:tc>
      </w:tr>
      <w:tr w:rsidR="00B934C3" w:rsidRPr="00581F1F" w:rsidTr="00722E26">
        <w:trPr>
          <w:trHeight w:val="277"/>
        </w:trPr>
        <w:tc>
          <w:tcPr>
            <w:tcW w:w="0" w:type="auto"/>
            <w:gridSpan w:val="2"/>
            <w:tcBorders>
              <w:top w:val="nil"/>
              <w:bottom w:val="nil"/>
              <w:right w:val="nil"/>
            </w:tcBorders>
            <w:shd w:val="clear" w:color="auto" w:fill="auto"/>
            <w:noWrap/>
            <w:vAlign w:val="bottom"/>
            <w:hideMark/>
          </w:tcPr>
          <w:p w:rsidR="00FC6249" w:rsidRPr="00581F1F" w:rsidRDefault="001A2F8A" w:rsidP="001A2F8A">
            <w:pPr>
              <w:rPr>
                <w:rFonts w:ascii="Arial" w:hAnsi="Arial" w:cs="Arial"/>
                <w:color w:val="000000"/>
                <w:sz w:val="20"/>
                <w:szCs w:val="20"/>
                <w:lang w:val="es-MX" w:eastAsia="es-MX"/>
              </w:rPr>
            </w:pPr>
            <w:r>
              <w:rPr>
                <w:rFonts w:ascii="Arial" w:hAnsi="Arial" w:cs="Arial"/>
                <w:color w:val="000000"/>
                <w:sz w:val="20"/>
                <w:szCs w:val="20"/>
                <w:lang w:val="es-MX" w:eastAsia="es-MX"/>
              </w:rPr>
              <w:t>Garantías pagadas por recuperar</w:t>
            </w:r>
          </w:p>
        </w:tc>
        <w:tc>
          <w:tcPr>
            <w:tcW w:w="0" w:type="auto"/>
            <w:tcBorders>
              <w:top w:val="nil"/>
              <w:left w:val="nil"/>
              <w:bottom w:val="nil"/>
              <w:right w:val="nil"/>
            </w:tcBorders>
            <w:shd w:val="clear" w:color="auto" w:fill="auto"/>
            <w:noWrap/>
            <w:vAlign w:val="bottom"/>
            <w:hideMark/>
          </w:tcPr>
          <w:p w:rsidR="00FC6249" w:rsidRPr="00581F1F" w:rsidRDefault="00FC6249" w:rsidP="00FC624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FC6249" w:rsidRPr="00581F1F" w:rsidRDefault="00FC6249" w:rsidP="00FC624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FC6249" w:rsidRPr="00581F1F" w:rsidRDefault="00FC6249" w:rsidP="001C0072">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1A2F8A">
              <w:rPr>
                <w:rFonts w:ascii="Arial" w:hAnsi="Arial" w:cs="Arial"/>
                <w:color w:val="000000"/>
                <w:sz w:val="20"/>
                <w:szCs w:val="20"/>
                <w:lang w:val="es-MX" w:eastAsia="es-MX"/>
              </w:rPr>
              <w:t xml:space="preserve">  </w:t>
            </w:r>
            <w:r w:rsidR="00633C92">
              <w:rPr>
                <w:rFonts w:ascii="Arial" w:hAnsi="Arial" w:cs="Arial"/>
                <w:color w:val="000000"/>
                <w:sz w:val="20"/>
                <w:szCs w:val="20"/>
                <w:lang w:val="es-MX" w:eastAsia="es-MX"/>
              </w:rPr>
              <w:t>6</w:t>
            </w:r>
            <w:r w:rsidR="001A2F8A">
              <w:rPr>
                <w:rFonts w:ascii="Arial" w:hAnsi="Arial" w:cs="Arial"/>
                <w:color w:val="000000"/>
                <w:sz w:val="20"/>
                <w:szCs w:val="20"/>
                <w:lang w:val="es-MX" w:eastAsia="es-MX"/>
              </w:rPr>
              <w:t>,</w:t>
            </w:r>
            <w:r w:rsidRPr="00581F1F">
              <w:rPr>
                <w:rFonts w:ascii="Arial" w:hAnsi="Arial" w:cs="Arial"/>
                <w:color w:val="000000"/>
                <w:sz w:val="20"/>
                <w:szCs w:val="20"/>
                <w:lang w:val="es-MX" w:eastAsia="es-MX"/>
              </w:rPr>
              <w:t xml:space="preserve"> </w:t>
            </w:r>
            <w:r w:rsidR="001C0072">
              <w:rPr>
                <w:rFonts w:ascii="Arial" w:hAnsi="Arial" w:cs="Arial"/>
                <w:color w:val="000000"/>
                <w:sz w:val="20"/>
                <w:szCs w:val="20"/>
                <w:lang w:val="es-MX" w:eastAsia="es-MX"/>
              </w:rPr>
              <w:t>481</w:t>
            </w:r>
            <w:r w:rsidR="001A2F8A">
              <w:rPr>
                <w:rFonts w:ascii="Arial" w:hAnsi="Arial" w:cs="Arial"/>
                <w:color w:val="000000"/>
                <w:sz w:val="20"/>
                <w:szCs w:val="20"/>
                <w:lang w:val="es-MX" w:eastAsia="es-MX"/>
              </w:rPr>
              <w:t>,</w:t>
            </w:r>
            <w:r w:rsidR="001C0072">
              <w:rPr>
                <w:rFonts w:ascii="Arial" w:hAnsi="Arial" w:cs="Arial"/>
                <w:color w:val="000000"/>
                <w:sz w:val="20"/>
                <w:szCs w:val="20"/>
                <w:lang w:val="es-MX" w:eastAsia="es-MX"/>
              </w:rPr>
              <w:t>755</w:t>
            </w:r>
          </w:p>
        </w:tc>
        <w:tc>
          <w:tcPr>
            <w:tcW w:w="0" w:type="auto"/>
            <w:tcBorders>
              <w:top w:val="nil"/>
              <w:left w:val="nil"/>
              <w:bottom w:val="nil"/>
              <w:right w:val="nil"/>
            </w:tcBorders>
            <w:shd w:val="clear" w:color="auto" w:fill="auto"/>
            <w:noWrap/>
            <w:vAlign w:val="bottom"/>
            <w:hideMark/>
          </w:tcPr>
          <w:p w:rsidR="00FC6249" w:rsidRPr="00581F1F" w:rsidRDefault="00FC6249" w:rsidP="00FC624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FC6249" w:rsidRPr="00581F1F" w:rsidRDefault="00FC6249"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6</w:t>
            </w:r>
            <w:r w:rsidR="004C4435">
              <w:rPr>
                <w:rFonts w:ascii="Arial" w:hAnsi="Arial" w:cs="Arial"/>
                <w:color w:val="000000"/>
                <w:sz w:val="20"/>
                <w:szCs w:val="20"/>
                <w:lang w:val="es-MX" w:eastAsia="es-MX"/>
              </w:rPr>
              <w:t>´</w:t>
            </w:r>
            <w:r w:rsidR="00BC66BB">
              <w:rPr>
                <w:rFonts w:ascii="Arial" w:hAnsi="Arial" w:cs="Arial"/>
                <w:color w:val="000000"/>
                <w:sz w:val="20"/>
                <w:szCs w:val="20"/>
                <w:lang w:val="es-MX" w:eastAsia="es-MX"/>
              </w:rPr>
              <w:t>481</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755</w:t>
            </w:r>
          </w:p>
        </w:tc>
      </w:tr>
      <w:tr w:rsidR="00B934C3" w:rsidRPr="00581F1F" w:rsidTr="00722E26">
        <w:trPr>
          <w:trHeight w:val="70"/>
        </w:trPr>
        <w:tc>
          <w:tcPr>
            <w:tcW w:w="0" w:type="auto"/>
            <w:gridSpan w:val="2"/>
            <w:tcBorders>
              <w:top w:val="nil"/>
              <w:bottom w:val="nil"/>
              <w:right w:val="nil"/>
            </w:tcBorders>
            <w:shd w:val="clear" w:color="auto" w:fill="auto"/>
            <w:noWrap/>
            <w:vAlign w:val="bottom"/>
          </w:tcPr>
          <w:p w:rsidR="00504EE2" w:rsidRPr="00581F1F" w:rsidRDefault="00504EE2"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1A2F8A">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504EE2" w:rsidRPr="00581F1F" w:rsidRDefault="00504EE2" w:rsidP="004C4435">
            <w:pPr>
              <w:jc w:val="right"/>
              <w:rPr>
                <w:rFonts w:ascii="Arial" w:hAnsi="Arial" w:cs="Arial"/>
                <w:color w:val="000000"/>
                <w:sz w:val="20"/>
                <w:szCs w:val="20"/>
                <w:lang w:val="es-MX" w:eastAsia="es-MX"/>
              </w:rPr>
            </w:pPr>
          </w:p>
        </w:tc>
      </w:tr>
      <w:tr w:rsidR="00A07E59" w:rsidRPr="00581F1F" w:rsidTr="00722E26">
        <w:trPr>
          <w:trHeight w:val="306"/>
        </w:trPr>
        <w:tc>
          <w:tcPr>
            <w:tcW w:w="0" w:type="auto"/>
            <w:tcBorders>
              <w:top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04EE2" w:rsidRPr="00581F1F" w:rsidRDefault="00504EE2" w:rsidP="006A0E8D">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4F7FC1" w:rsidRPr="00581F1F">
              <w:rPr>
                <w:rFonts w:ascii="Arial" w:hAnsi="Arial" w:cs="Arial"/>
                <w:b/>
                <w:bCs/>
                <w:color w:val="000000"/>
                <w:sz w:val="20"/>
                <w:szCs w:val="20"/>
                <w:lang w:val="es-MX" w:eastAsia="es-MX"/>
              </w:rPr>
              <w:t xml:space="preserve"> </w:t>
            </w:r>
            <w:r w:rsidR="006A0E8D">
              <w:rPr>
                <w:rFonts w:ascii="Arial" w:hAnsi="Arial" w:cs="Arial"/>
                <w:b/>
                <w:bCs/>
                <w:color w:val="000000"/>
                <w:sz w:val="20"/>
                <w:szCs w:val="20"/>
                <w:lang w:val="es-MX" w:eastAsia="es-MX"/>
              </w:rPr>
              <w:t>46</w:t>
            </w:r>
            <w:r w:rsidRPr="00581F1F">
              <w:rPr>
                <w:rFonts w:ascii="Arial" w:hAnsi="Arial" w:cs="Arial"/>
                <w:b/>
                <w:bCs/>
                <w:color w:val="000000"/>
                <w:sz w:val="20"/>
                <w:szCs w:val="20"/>
                <w:lang w:val="es-MX" w:eastAsia="es-MX"/>
              </w:rPr>
              <w:t>,</w:t>
            </w:r>
            <w:r w:rsidR="006A0E8D">
              <w:rPr>
                <w:rFonts w:ascii="Arial" w:hAnsi="Arial" w:cs="Arial"/>
                <w:b/>
                <w:bCs/>
                <w:color w:val="000000"/>
                <w:sz w:val="20"/>
                <w:szCs w:val="20"/>
                <w:lang w:val="es-MX" w:eastAsia="es-MX"/>
              </w:rPr>
              <w:t>565</w:t>
            </w:r>
            <w:r w:rsidRPr="00581F1F">
              <w:rPr>
                <w:rFonts w:ascii="Arial" w:hAnsi="Arial" w:cs="Arial"/>
                <w:b/>
                <w:bCs/>
                <w:color w:val="000000"/>
                <w:sz w:val="20"/>
                <w:szCs w:val="20"/>
                <w:lang w:val="es-MX" w:eastAsia="es-MX"/>
              </w:rPr>
              <w:t>,</w:t>
            </w:r>
            <w:r w:rsidR="006A0E8D">
              <w:rPr>
                <w:rFonts w:ascii="Arial" w:hAnsi="Arial" w:cs="Arial"/>
                <w:b/>
                <w:bCs/>
                <w:color w:val="000000"/>
                <w:sz w:val="20"/>
                <w:szCs w:val="20"/>
                <w:lang w:val="es-MX" w:eastAsia="es-MX"/>
              </w:rPr>
              <w:t>6</w:t>
            </w:r>
            <w:r w:rsidR="00B41AF3">
              <w:rPr>
                <w:rFonts w:ascii="Arial" w:hAnsi="Arial" w:cs="Arial"/>
                <w:b/>
                <w:bCs/>
                <w:color w:val="000000"/>
                <w:sz w:val="20"/>
                <w:szCs w:val="20"/>
                <w:lang w:val="es-MX" w:eastAsia="es-MX"/>
              </w:rPr>
              <w:t>84</w:t>
            </w:r>
            <w:r w:rsidRPr="00581F1F">
              <w:rPr>
                <w:rFonts w:ascii="Arial" w:hAnsi="Arial" w:cs="Arial"/>
                <w:b/>
                <w:bCs/>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04EE2" w:rsidRPr="00581F1F" w:rsidRDefault="00504EE2" w:rsidP="00551751">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04EE2" w:rsidRPr="00581F1F" w:rsidRDefault="00504EE2" w:rsidP="00FA32E3">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FA32E3">
              <w:rPr>
                <w:rFonts w:ascii="Arial" w:hAnsi="Arial" w:cs="Arial"/>
                <w:b/>
                <w:bCs/>
                <w:color w:val="000000"/>
                <w:sz w:val="20"/>
                <w:szCs w:val="20"/>
                <w:lang w:val="es-MX" w:eastAsia="es-MX"/>
              </w:rPr>
              <w:t>48</w:t>
            </w:r>
            <w:r w:rsidRPr="00581F1F">
              <w:rPr>
                <w:rFonts w:ascii="Arial" w:hAnsi="Arial" w:cs="Arial"/>
                <w:b/>
                <w:bCs/>
                <w:color w:val="000000"/>
                <w:sz w:val="20"/>
                <w:szCs w:val="20"/>
                <w:lang w:val="es-MX" w:eastAsia="es-MX"/>
              </w:rPr>
              <w:t>,</w:t>
            </w:r>
            <w:r w:rsidR="00FA32E3">
              <w:rPr>
                <w:rFonts w:ascii="Arial" w:hAnsi="Arial" w:cs="Arial"/>
                <w:b/>
                <w:bCs/>
                <w:color w:val="000000"/>
                <w:sz w:val="20"/>
                <w:szCs w:val="20"/>
                <w:lang w:val="es-MX" w:eastAsia="es-MX"/>
              </w:rPr>
              <w:t>224</w:t>
            </w:r>
            <w:r w:rsidRPr="00581F1F">
              <w:rPr>
                <w:rFonts w:ascii="Arial" w:hAnsi="Arial" w:cs="Arial"/>
                <w:b/>
                <w:bCs/>
                <w:color w:val="000000"/>
                <w:sz w:val="20"/>
                <w:szCs w:val="20"/>
                <w:lang w:val="es-MX" w:eastAsia="es-MX"/>
              </w:rPr>
              <w:t>,</w:t>
            </w:r>
            <w:r w:rsidR="008304A8">
              <w:rPr>
                <w:rFonts w:ascii="Arial" w:hAnsi="Arial" w:cs="Arial"/>
                <w:b/>
                <w:bCs/>
                <w:color w:val="000000"/>
                <w:sz w:val="20"/>
                <w:szCs w:val="20"/>
                <w:lang w:val="es-MX" w:eastAsia="es-MX"/>
              </w:rPr>
              <w:t>7</w:t>
            </w:r>
            <w:r w:rsidR="00FA32E3">
              <w:rPr>
                <w:rFonts w:ascii="Arial" w:hAnsi="Arial" w:cs="Arial"/>
                <w:b/>
                <w:bCs/>
                <w:color w:val="000000"/>
                <w:sz w:val="20"/>
                <w:szCs w:val="20"/>
                <w:lang w:val="es-MX" w:eastAsia="es-MX"/>
              </w:rPr>
              <w:t>23</w:t>
            </w:r>
            <w:r w:rsidRPr="00581F1F">
              <w:rPr>
                <w:rFonts w:ascii="Arial" w:hAnsi="Arial" w:cs="Arial"/>
                <w:b/>
                <w:bCs/>
                <w:color w:val="000000"/>
                <w:sz w:val="20"/>
                <w:szCs w:val="20"/>
                <w:lang w:val="es-MX" w:eastAsia="es-MX"/>
              </w:rPr>
              <w:t xml:space="preserve"> </w:t>
            </w:r>
          </w:p>
        </w:tc>
      </w:tr>
    </w:tbl>
    <w:p w:rsidR="00551751" w:rsidRPr="00581F1F" w:rsidRDefault="00551751" w:rsidP="000C6040">
      <w:pPr>
        <w:pStyle w:val="Default"/>
        <w:ind w:left="360"/>
        <w:rPr>
          <w:sz w:val="20"/>
          <w:szCs w:val="20"/>
        </w:rPr>
      </w:pPr>
    </w:p>
    <w:p w:rsidR="009306CB" w:rsidRPr="00581F1F" w:rsidRDefault="00722E26" w:rsidP="0016350B">
      <w:pPr>
        <w:pStyle w:val="Default"/>
        <w:rPr>
          <w:sz w:val="20"/>
          <w:szCs w:val="20"/>
        </w:rPr>
      </w:pPr>
      <w:r>
        <w:rPr>
          <w:sz w:val="20"/>
          <w:szCs w:val="20"/>
        </w:rPr>
        <w:t>Garantías líquidas:</w:t>
      </w:r>
    </w:p>
    <w:p w:rsidR="009306CB" w:rsidRDefault="00B934C3" w:rsidP="009306CB">
      <w:pPr>
        <w:pStyle w:val="Default"/>
        <w:jc w:val="both"/>
        <w:rPr>
          <w:sz w:val="20"/>
          <w:szCs w:val="20"/>
        </w:rPr>
      </w:pPr>
      <w:r>
        <w:rPr>
          <w:sz w:val="20"/>
          <w:szCs w:val="20"/>
        </w:rPr>
        <w:t>Garantías otorgadas al amparo de Contratos de Participación con intermediarios financieros</w:t>
      </w:r>
      <w:r w:rsidR="009D4D70">
        <w:rPr>
          <w:sz w:val="20"/>
          <w:szCs w:val="20"/>
        </w:rPr>
        <w:t xml:space="preserve"> no bancarios</w:t>
      </w:r>
      <w:r>
        <w:rPr>
          <w:sz w:val="20"/>
          <w:szCs w:val="20"/>
        </w:rPr>
        <w:t xml:space="preserve"> para el otorgamiento de financiamientos a productores del sector agropecuario sonorense.</w:t>
      </w:r>
    </w:p>
    <w:p w:rsidR="00B934C3" w:rsidRDefault="00B934C3" w:rsidP="009306CB">
      <w:pPr>
        <w:pStyle w:val="Default"/>
        <w:jc w:val="both"/>
        <w:rPr>
          <w:sz w:val="20"/>
          <w:szCs w:val="20"/>
        </w:rPr>
      </w:pPr>
    </w:p>
    <w:p w:rsidR="00B934C3" w:rsidRDefault="00B934C3" w:rsidP="009306CB">
      <w:pPr>
        <w:pStyle w:val="Default"/>
        <w:jc w:val="both"/>
        <w:rPr>
          <w:sz w:val="20"/>
          <w:szCs w:val="20"/>
        </w:rPr>
      </w:pPr>
    </w:p>
    <w:p w:rsidR="00007BA2" w:rsidRPr="00581F1F" w:rsidRDefault="00007BA2" w:rsidP="00007BA2">
      <w:pPr>
        <w:pStyle w:val="Default"/>
        <w:numPr>
          <w:ilvl w:val="0"/>
          <w:numId w:val="25"/>
        </w:numPr>
        <w:rPr>
          <w:b/>
          <w:sz w:val="20"/>
          <w:szCs w:val="20"/>
          <w:u w:val="single"/>
        </w:rPr>
      </w:pPr>
      <w:r w:rsidRPr="00581F1F">
        <w:rPr>
          <w:b/>
          <w:sz w:val="20"/>
          <w:szCs w:val="20"/>
          <w:u w:val="single"/>
        </w:rPr>
        <w:t xml:space="preserve">Derechos a recibir efectivo o equivalentes </w:t>
      </w:r>
    </w:p>
    <w:p w:rsidR="00007BA2" w:rsidRDefault="00007BA2" w:rsidP="00007BA2">
      <w:pPr>
        <w:pStyle w:val="Default"/>
        <w:jc w:val="both"/>
        <w:rPr>
          <w:sz w:val="20"/>
          <w:szCs w:val="20"/>
        </w:rPr>
      </w:pPr>
      <w:r w:rsidRPr="00581F1F">
        <w:rPr>
          <w:sz w:val="20"/>
          <w:szCs w:val="20"/>
        </w:rPr>
        <w:t xml:space="preserve">Al </w:t>
      </w:r>
      <w:r>
        <w:rPr>
          <w:sz w:val="20"/>
          <w:szCs w:val="20"/>
        </w:rPr>
        <w:t>3</w:t>
      </w:r>
      <w:r w:rsidR="006A0E8D">
        <w:rPr>
          <w:sz w:val="20"/>
          <w:szCs w:val="20"/>
        </w:rPr>
        <w:t>0</w:t>
      </w:r>
      <w:r w:rsidRPr="00581F1F">
        <w:rPr>
          <w:sz w:val="20"/>
          <w:szCs w:val="20"/>
        </w:rPr>
        <w:t xml:space="preserve"> de </w:t>
      </w:r>
      <w:r w:rsidR="006A0E8D">
        <w:rPr>
          <w:sz w:val="20"/>
          <w:szCs w:val="20"/>
        </w:rPr>
        <w:t>junio</w:t>
      </w:r>
      <w:r w:rsidRPr="00581F1F">
        <w:rPr>
          <w:sz w:val="20"/>
          <w:szCs w:val="20"/>
        </w:rPr>
        <w:t xml:space="preserve"> de 20</w:t>
      </w:r>
      <w:r w:rsidR="006A0E8D">
        <w:rPr>
          <w:sz w:val="20"/>
          <w:szCs w:val="20"/>
        </w:rPr>
        <w:t>20</w:t>
      </w:r>
      <w:r w:rsidRPr="00581F1F">
        <w:rPr>
          <w:sz w:val="20"/>
          <w:szCs w:val="20"/>
        </w:rPr>
        <w:t xml:space="preserve"> y 31 de diciembre de 201</w:t>
      </w:r>
      <w:r w:rsidR="006A0E8D">
        <w:rPr>
          <w:sz w:val="20"/>
          <w:szCs w:val="20"/>
        </w:rPr>
        <w:t>9</w:t>
      </w:r>
      <w:r w:rsidRPr="00581F1F">
        <w:rPr>
          <w:sz w:val="20"/>
          <w:szCs w:val="20"/>
        </w:rPr>
        <w:t xml:space="preserve"> los derechos a recibir efectivo o equivalentes se integran de la siguiente manera:</w:t>
      </w:r>
    </w:p>
    <w:p w:rsidR="00ED2408" w:rsidRDefault="00ED2408" w:rsidP="00007BA2">
      <w:pPr>
        <w:pStyle w:val="Default"/>
        <w:jc w:val="both"/>
        <w:rPr>
          <w:sz w:val="20"/>
          <w:szCs w:val="20"/>
        </w:rPr>
      </w:pPr>
    </w:p>
    <w:p w:rsidR="00244533" w:rsidRDefault="00244533" w:rsidP="00007BA2">
      <w:pPr>
        <w:pStyle w:val="Default"/>
        <w:jc w:val="both"/>
        <w:rPr>
          <w:sz w:val="20"/>
          <w:szCs w:val="20"/>
        </w:rPr>
      </w:pPr>
    </w:p>
    <w:p w:rsidR="00ED2408" w:rsidRPr="00581F1F" w:rsidRDefault="00ED2408" w:rsidP="00007BA2">
      <w:pPr>
        <w:pStyle w:val="Default"/>
        <w:jc w:val="both"/>
        <w:rPr>
          <w:sz w:val="20"/>
          <w:szCs w:val="20"/>
        </w:rPr>
      </w:pPr>
    </w:p>
    <w:p w:rsidR="00007BA2" w:rsidRDefault="00007BA2" w:rsidP="009306CB">
      <w:pPr>
        <w:pStyle w:val="Default"/>
        <w:jc w:val="both"/>
        <w:rPr>
          <w:sz w:val="20"/>
          <w:szCs w:val="20"/>
        </w:rPr>
      </w:pPr>
    </w:p>
    <w:p w:rsidR="00007BA2" w:rsidRPr="00CC2BC5" w:rsidRDefault="00CC2BC5" w:rsidP="009306CB">
      <w:pPr>
        <w:pStyle w:val="Default"/>
        <w:jc w:val="both"/>
        <w:rPr>
          <w:b/>
          <w:sz w:val="20"/>
          <w:szCs w:val="20"/>
          <w:u w:val="single"/>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b/>
          <w:sz w:val="20"/>
          <w:szCs w:val="20"/>
          <w:u w:val="single"/>
        </w:rPr>
        <w:t>20</w:t>
      </w:r>
      <w:r w:rsidR="00BC66BB">
        <w:rPr>
          <w:b/>
          <w:sz w:val="20"/>
          <w:szCs w:val="20"/>
          <w:u w:val="single"/>
        </w:rPr>
        <w:t>20</w:t>
      </w:r>
      <w:r>
        <w:rPr>
          <w:sz w:val="20"/>
          <w:szCs w:val="20"/>
        </w:rPr>
        <w:tab/>
      </w:r>
      <w:r>
        <w:rPr>
          <w:sz w:val="20"/>
          <w:szCs w:val="20"/>
        </w:rPr>
        <w:tab/>
      </w:r>
      <w:r>
        <w:rPr>
          <w:sz w:val="20"/>
          <w:szCs w:val="20"/>
        </w:rPr>
        <w:tab/>
      </w:r>
      <w:r>
        <w:rPr>
          <w:b/>
          <w:sz w:val="20"/>
          <w:szCs w:val="20"/>
          <w:u w:val="single"/>
        </w:rPr>
        <w:t>201</w:t>
      </w:r>
      <w:r w:rsidR="00BC66BB">
        <w:rPr>
          <w:b/>
          <w:sz w:val="20"/>
          <w:szCs w:val="20"/>
          <w:u w:val="single"/>
        </w:rPr>
        <w:t>9</w:t>
      </w:r>
    </w:p>
    <w:p w:rsidR="00007BA2" w:rsidRDefault="00007BA2" w:rsidP="009306CB">
      <w:pPr>
        <w:pStyle w:val="Default"/>
        <w:jc w:val="both"/>
        <w:rPr>
          <w:sz w:val="20"/>
          <w:szCs w:val="20"/>
        </w:rPr>
      </w:pPr>
    </w:p>
    <w:p w:rsidR="00007BA2" w:rsidRDefault="00CC2BC5" w:rsidP="009306CB">
      <w:pPr>
        <w:pStyle w:val="Default"/>
        <w:jc w:val="both"/>
        <w:rPr>
          <w:sz w:val="20"/>
          <w:szCs w:val="20"/>
        </w:rPr>
      </w:pPr>
      <w:r>
        <w:rPr>
          <w:sz w:val="20"/>
          <w:szCs w:val="20"/>
        </w:rPr>
        <w:t>Deudores Diversos:                                        1´</w:t>
      </w:r>
      <w:r w:rsidR="006A0E8D">
        <w:rPr>
          <w:sz w:val="20"/>
          <w:szCs w:val="20"/>
        </w:rPr>
        <w:t>426</w:t>
      </w:r>
      <w:r>
        <w:rPr>
          <w:sz w:val="20"/>
          <w:szCs w:val="20"/>
        </w:rPr>
        <w:t>,</w:t>
      </w:r>
      <w:r w:rsidR="006A0E8D">
        <w:rPr>
          <w:sz w:val="20"/>
          <w:szCs w:val="20"/>
        </w:rPr>
        <w:t>022</w:t>
      </w:r>
      <w:r>
        <w:rPr>
          <w:sz w:val="20"/>
          <w:szCs w:val="20"/>
        </w:rPr>
        <w:t xml:space="preserve">.                       </w:t>
      </w:r>
      <w:r w:rsidR="008304A8">
        <w:rPr>
          <w:sz w:val="20"/>
          <w:szCs w:val="20"/>
        </w:rPr>
        <w:t>1´</w:t>
      </w:r>
      <w:r w:rsidR="00BC66BB">
        <w:rPr>
          <w:sz w:val="20"/>
          <w:szCs w:val="20"/>
        </w:rPr>
        <w:t>679</w:t>
      </w:r>
      <w:r>
        <w:rPr>
          <w:sz w:val="20"/>
          <w:szCs w:val="20"/>
        </w:rPr>
        <w:t>.</w:t>
      </w:r>
      <w:r w:rsidR="00BC66BB">
        <w:rPr>
          <w:sz w:val="20"/>
          <w:szCs w:val="20"/>
        </w:rPr>
        <w:t>920</w:t>
      </w:r>
    </w:p>
    <w:p w:rsidR="00007BA2" w:rsidRPr="00581F1F" w:rsidRDefault="00F307CE" w:rsidP="009306CB">
      <w:pPr>
        <w:pStyle w:val="Default"/>
        <w:jc w:val="both"/>
        <w:rPr>
          <w:sz w:val="20"/>
          <w:szCs w:val="20"/>
        </w:rPr>
      </w:pPr>
      <w:r>
        <w:rPr>
          <w:sz w:val="20"/>
          <w:szCs w:val="20"/>
        </w:rPr>
        <w:t xml:space="preserve">Préstamos otorgados </w:t>
      </w:r>
      <w:r>
        <w:rPr>
          <w:sz w:val="20"/>
          <w:szCs w:val="20"/>
        </w:rPr>
        <w:tab/>
      </w:r>
      <w:r>
        <w:rPr>
          <w:sz w:val="20"/>
          <w:szCs w:val="20"/>
        </w:rPr>
        <w:tab/>
      </w:r>
      <w:r>
        <w:rPr>
          <w:sz w:val="20"/>
          <w:szCs w:val="20"/>
        </w:rPr>
        <w:tab/>
        <w:t xml:space="preserve">      </w:t>
      </w:r>
      <w:r w:rsidR="006A0E8D">
        <w:rPr>
          <w:sz w:val="20"/>
          <w:szCs w:val="20"/>
        </w:rPr>
        <w:t>33</w:t>
      </w:r>
      <w:r>
        <w:rPr>
          <w:sz w:val="20"/>
          <w:szCs w:val="20"/>
        </w:rPr>
        <w:t>´</w:t>
      </w:r>
      <w:r w:rsidR="006A0E8D">
        <w:rPr>
          <w:sz w:val="20"/>
          <w:szCs w:val="20"/>
        </w:rPr>
        <w:t>482</w:t>
      </w:r>
      <w:r>
        <w:rPr>
          <w:sz w:val="20"/>
          <w:szCs w:val="20"/>
        </w:rPr>
        <w:t>,</w:t>
      </w:r>
      <w:r w:rsidR="006A0E8D">
        <w:rPr>
          <w:sz w:val="20"/>
          <w:szCs w:val="20"/>
        </w:rPr>
        <w:t>351</w:t>
      </w:r>
      <w:r>
        <w:rPr>
          <w:sz w:val="20"/>
          <w:szCs w:val="20"/>
        </w:rPr>
        <w:t>.</w:t>
      </w:r>
      <w:r>
        <w:rPr>
          <w:sz w:val="20"/>
          <w:szCs w:val="20"/>
        </w:rPr>
        <w:tab/>
      </w:r>
      <w:r>
        <w:rPr>
          <w:sz w:val="20"/>
          <w:szCs w:val="20"/>
        </w:rPr>
        <w:tab/>
        <w:t xml:space="preserve">      </w:t>
      </w:r>
      <w:r w:rsidR="008304A8">
        <w:rPr>
          <w:sz w:val="20"/>
          <w:szCs w:val="20"/>
        </w:rPr>
        <w:t xml:space="preserve">   </w:t>
      </w:r>
      <w:r>
        <w:rPr>
          <w:sz w:val="20"/>
          <w:szCs w:val="20"/>
        </w:rPr>
        <w:t xml:space="preserve"> </w:t>
      </w:r>
      <w:r w:rsidR="00BC66BB">
        <w:rPr>
          <w:sz w:val="20"/>
          <w:szCs w:val="20"/>
        </w:rPr>
        <w:t>7</w:t>
      </w:r>
      <w:r>
        <w:rPr>
          <w:sz w:val="20"/>
          <w:szCs w:val="20"/>
        </w:rPr>
        <w:t>´</w:t>
      </w:r>
      <w:r w:rsidR="00BC66BB">
        <w:rPr>
          <w:sz w:val="20"/>
          <w:szCs w:val="20"/>
        </w:rPr>
        <w:t>779</w:t>
      </w:r>
      <w:r>
        <w:rPr>
          <w:sz w:val="20"/>
          <w:szCs w:val="20"/>
        </w:rPr>
        <w:t>,4</w:t>
      </w:r>
      <w:r w:rsidR="00BC66BB">
        <w:rPr>
          <w:sz w:val="20"/>
          <w:szCs w:val="20"/>
        </w:rPr>
        <w:t>03</w:t>
      </w:r>
      <w:r>
        <w:rPr>
          <w:sz w:val="20"/>
          <w:szCs w:val="20"/>
        </w:rPr>
        <w:t>.</w:t>
      </w:r>
      <w:r>
        <w:rPr>
          <w:sz w:val="20"/>
          <w:szCs w:val="20"/>
        </w:rPr>
        <w:tab/>
      </w:r>
      <w:r>
        <w:rPr>
          <w:sz w:val="20"/>
          <w:szCs w:val="20"/>
        </w:rPr>
        <w:tab/>
      </w:r>
    </w:p>
    <w:p w:rsidR="00B934C3" w:rsidRDefault="00B934C3" w:rsidP="009306CB">
      <w:pPr>
        <w:pStyle w:val="Default"/>
        <w:jc w:val="both"/>
        <w:rPr>
          <w:sz w:val="20"/>
          <w:szCs w:val="20"/>
          <w:lang w:eastAsia="es-MX"/>
        </w:rPr>
      </w:pPr>
    </w:p>
    <w:p w:rsidR="00B934C3" w:rsidRDefault="00B934C3" w:rsidP="009306CB">
      <w:pPr>
        <w:pStyle w:val="Default"/>
        <w:jc w:val="both"/>
        <w:rPr>
          <w:sz w:val="20"/>
          <w:szCs w:val="20"/>
          <w:lang w:eastAsia="es-MX"/>
        </w:rPr>
      </w:pPr>
    </w:p>
    <w:p w:rsidR="00B934C3" w:rsidRDefault="00B934C3" w:rsidP="009306CB">
      <w:pPr>
        <w:pStyle w:val="Default"/>
        <w:jc w:val="both"/>
        <w:rPr>
          <w:sz w:val="20"/>
          <w:szCs w:val="20"/>
          <w:lang w:eastAsia="es-MX"/>
        </w:rPr>
      </w:pPr>
    </w:p>
    <w:p w:rsidR="009306CB" w:rsidRPr="00581F1F" w:rsidRDefault="009306CB" w:rsidP="00007BA2">
      <w:pPr>
        <w:pStyle w:val="Default"/>
        <w:numPr>
          <w:ilvl w:val="0"/>
          <w:numId w:val="25"/>
        </w:numPr>
        <w:jc w:val="both"/>
        <w:rPr>
          <w:b/>
          <w:sz w:val="20"/>
          <w:szCs w:val="20"/>
          <w:u w:val="single"/>
        </w:rPr>
      </w:pPr>
      <w:r w:rsidRPr="00581F1F">
        <w:rPr>
          <w:b/>
          <w:sz w:val="20"/>
          <w:szCs w:val="20"/>
          <w:u w:val="single"/>
        </w:rPr>
        <w:t>Bienes muebles e intangibles</w:t>
      </w:r>
    </w:p>
    <w:p w:rsidR="009306CB" w:rsidRPr="00581F1F" w:rsidRDefault="009306CB" w:rsidP="009306CB">
      <w:pPr>
        <w:pStyle w:val="Default"/>
        <w:jc w:val="both"/>
        <w:rPr>
          <w:sz w:val="20"/>
          <w:szCs w:val="20"/>
        </w:rPr>
      </w:pPr>
      <w:r w:rsidRPr="00581F1F">
        <w:rPr>
          <w:sz w:val="20"/>
          <w:szCs w:val="20"/>
        </w:rPr>
        <w:t>Los bienes muebles y activos intangibles se registran al costo de adquisición, incluidos los aranceles de importación y los impuestos indirectos no recuperables que recaigan sobre la adquisición, después de deducir cualquier descuento o rebaja del precio.</w:t>
      </w:r>
    </w:p>
    <w:p w:rsidR="009306CB" w:rsidRPr="00581F1F" w:rsidRDefault="009306CB" w:rsidP="009306CB">
      <w:pPr>
        <w:pStyle w:val="Default"/>
        <w:jc w:val="both"/>
        <w:rPr>
          <w:sz w:val="20"/>
          <w:szCs w:val="20"/>
        </w:rPr>
      </w:pPr>
    </w:p>
    <w:p w:rsidR="009306CB" w:rsidRPr="00581F1F" w:rsidRDefault="009306CB" w:rsidP="009306CB">
      <w:pPr>
        <w:pStyle w:val="Default"/>
        <w:jc w:val="both"/>
        <w:rPr>
          <w:sz w:val="20"/>
          <w:szCs w:val="20"/>
        </w:rPr>
      </w:pPr>
      <w:r w:rsidRPr="00581F1F">
        <w:rPr>
          <w:sz w:val="20"/>
          <w:szCs w:val="20"/>
        </w:rPr>
        <w:t xml:space="preserve">Los bienes muebles y activos  intangibles, cuyo costo unitario de adquisición sea menor a 35 días de salario mínimo vigente en </w:t>
      </w:r>
      <w:r w:rsidR="003667AD">
        <w:rPr>
          <w:sz w:val="20"/>
          <w:szCs w:val="20"/>
        </w:rPr>
        <w:t>la Ciudad de México</w:t>
      </w:r>
      <w:r w:rsidRPr="00581F1F">
        <w:rPr>
          <w:sz w:val="20"/>
          <w:szCs w:val="20"/>
        </w:rPr>
        <w:t>, se registran contablemente como un gasto.</w:t>
      </w:r>
    </w:p>
    <w:p w:rsidR="009306CB" w:rsidRPr="00581F1F" w:rsidRDefault="009306CB" w:rsidP="009306CB">
      <w:pPr>
        <w:pStyle w:val="Default"/>
        <w:jc w:val="both"/>
        <w:rPr>
          <w:sz w:val="20"/>
          <w:szCs w:val="20"/>
        </w:rPr>
      </w:pPr>
    </w:p>
    <w:p w:rsidR="009306CB" w:rsidRPr="00581F1F" w:rsidRDefault="009306CB" w:rsidP="009306CB">
      <w:pPr>
        <w:pStyle w:val="Default"/>
        <w:jc w:val="both"/>
        <w:rPr>
          <w:sz w:val="20"/>
          <w:szCs w:val="20"/>
        </w:rPr>
      </w:pPr>
      <w:r w:rsidRPr="00581F1F">
        <w:rPr>
          <w:sz w:val="20"/>
          <w:szCs w:val="20"/>
        </w:rPr>
        <w:t>Los bienes muebles y activos intangibles, cuyo costo unitario de adquisición sea igual o mayor a 35 días de salario mínimo vigente en el Distrito Federal, se registrarán contablemente como un aumento en el activo no circulante.</w:t>
      </w:r>
    </w:p>
    <w:p w:rsidR="009306CB" w:rsidRPr="00581F1F" w:rsidRDefault="009306CB" w:rsidP="009306CB">
      <w:pPr>
        <w:pStyle w:val="Default"/>
        <w:jc w:val="both"/>
        <w:rPr>
          <w:sz w:val="16"/>
          <w:szCs w:val="16"/>
        </w:rPr>
      </w:pPr>
    </w:p>
    <w:p w:rsidR="009306CB" w:rsidRPr="00581F1F" w:rsidRDefault="009306CB" w:rsidP="009306CB">
      <w:pPr>
        <w:pStyle w:val="Default"/>
        <w:jc w:val="both"/>
        <w:rPr>
          <w:sz w:val="20"/>
          <w:szCs w:val="20"/>
        </w:rPr>
      </w:pPr>
      <w:r w:rsidRPr="00581F1F">
        <w:rPr>
          <w:sz w:val="20"/>
          <w:szCs w:val="20"/>
        </w:rPr>
        <w:t>La depreciación y amortización de los bienes muebles y activos intangibles se calcula considerando el costo de adquisición del activo depreciable, menos su valor de desecho, entre los años correspondientes a su vida útil o su vida económica. Los porcentajes anuales de depreciación y amortización se muestran a continuación:</w:t>
      </w:r>
    </w:p>
    <w:p w:rsidR="009306CB" w:rsidRPr="00581F1F" w:rsidRDefault="009306CB" w:rsidP="009306CB">
      <w:pPr>
        <w:pStyle w:val="Default"/>
        <w:jc w:val="both"/>
        <w:rPr>
          <w:sz w:val="16"/>
          <w:szCs w:val="16"/>
        </w:rPr>
      </w:pPr>
    </w:p>
    <w:tbl>
      <w:tblPr>
        <w:tblW w:w="8940" w:type="dxa"/>
        <w:jc w:val="center"/>
        <w:tblCellMar>
          <w:left w:w="70" w:type="dxa"/>
          <w:right w:w="70" w:type="dxa"/>
        </w:tblCellMar>
        <w:tblLook w:val="04A0" w:firstRow="1" w:lastRow="0" w:firstColumn="1" w:lastColumn="0" w:noHBand="0" w:noVBand="1"/>
      </w:tblPr>
      <w:tblGrid>
        <w:gridCol w:w="1200"/>
        <w:gridCol w:w="1200"/>
        <w:gridCol w:w="1520"/>
        <w:gridCol w:w="1620"/>
        <w:gridCol w:w="1660"/>
        <w:gridCol w:w="1740"/>
      </w:tblGrid>
      <w:tr w:rsidR="009306CB" w:rsidRPr="00581F1F" w:rsidTr="009306CB">
        <w:trPr>
          <w:trHeight w:val="285"/>
          <w:jc w:val="center"/>
        </w:trPr>
        <w:tc>
          <w:tcPr>
            <w:tcW w:w="120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20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5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u w:val="single"/>
                <w:lang w:val="es-MX" w:eastAsia="es-MX"/>
              </w:rPr>
            </w:pPr>
            <w:r w:rsidRPr="00581F1F">
              <w:rPr>
                <w:rFonts w:ascii="Arial" w:hAnsi="Arial" w:cs="Arial"/>
                <w:color w:val="000000"/>
                <w:sz w:val="20"/>
                <w:szCs w:val="20"/>
                <w:u w:val="single"/>
                <w:lang w:val="es-MX" w:eastAsia="es-MX"/>
              </w:rPr>
              <w:t>%</w:t>
            </w:r>
          </w:p>
        </w:tc>
      </w:tr>
      <w:tr w:rsidR="009306CB" w:rsidRPr="00581F1F" w:rsidTr="009306CB">
        <w:trPr>
          <w:trHeight w:val="285"/>
          <w:jc w:val="center"/>
        </w:trPr>
        <w:tc>
          <w:tcPr>
            <w:tcW w:w="3920" w:type="dxa"/>
            <w:gridSpan w:val="3"/>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Muebles de oficina y estantería</w:t>
            </w: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5540" w:type="dxa"/>
            <w:gridSpan w:val="4"/>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Equipo de cómputo y tecnologías de la información</w:t>
            </w: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052840">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3</w:t>
            </w:r>
            <w:r w:rsidR="00052840">
              <w:rPr>
                <w:rFonts w:ascii="Arial" w:hAnsi="Arial" w:cs="Arial"/>
                <w:color w:val="000000"/>
                <w:sz w:val="20"/>
                <w:szCs w:val="20"/>
                <w:lang w:val="es-MX" w:eastAsia="es-MX"/>
              </w:rPr>
              <w:t>3.3</w:t>
            </w:r>
          </w:p>
        </w:tc>
      </w:tr>
      <w:tr w:rsidR="009306CB" w:rsidRPr="00581F1F" w:rsidTr="009306CB">
        <w:trPr>
          <w:trHeight w:val="285"/>
          <w:jc w:val="center"/>
        </w:trPr>
        <w:tc>
          <w:tcPr>
            <w:tcW w:w="5540" w:type="dxa"/>
            <w:gridSpan w:val="4"/>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Otros mobiliarios y equipo de administración</w:t>
            </w: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3920" w:type="dxa"/>
            <w:gridSpan w:val="3"/>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Automóviles y equipo terrestre</w:t>
            </w: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25</w:t>
            </w:r>
          </w:p>
        </w:tc>
      </w:tr>
      <w:tr w:rsidR="009306CB" w:rsidRPr="00581F1F" w:rsidTr="009306CB">
        <w:trPr>
          <w:trHeight w:val="285"/>
          <w:jc w:val="center"/>
        </w:trPr>
        <w:tc>
          <w:tcPr>
            <w:tcW w:w="7200" w:type="dxa"/>
            <w:gridSpan w:val="5"/>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Sistemas de aire acondicionado, calefacción y refrigeración</w:t>
            </w: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5540" w:type="dxa"/>
            <w:gridSpan w:val="4"/>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Equipo de comunicación y telecomunicación</w:t>
            </w: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2400" w:type="dxa"/>
            <w:gridSpan w:val="2"/>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Otros equipos</w:t>
            </w:r>
          </w:p>
        </w:tc>
        <w:tc>
          <w:tcPr>
            <w:tcW w:w="15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10</w:t>
            </w:r>
          </w:p>
        </w:tc>
      </w:tr>
      <w:tr w:rsidR="009306CB" w:rsidRPr="00581F1F" w:rsidTr="009306CB">
        <w:trPr>
          <w:trHeight w:val="285"/>
          <w:jc w:val="center"/>
        </w:trPr>
        <w:tc>
          <w:tcPr>
            <w:tcW w:w="120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Software</w:t>
            </w:r>
          </w:p>
        </w:tc>
        <w:tc>
          <w:tcPr>
            <w:tcW w:w="120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5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2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660" w:type="dxa"/>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1740" w:type="dxa"/>
            <w:tcBorders>
              <w:top w:val="nil"/>
              <w:left w:val="nil"/>
              <w:bottom w:val="nil"/>
              <w:right w:val="nil"/>
            </w:tcBorders>
            <w:shd w:val="clear" w:color="auto" w:fill="auto"/>
            <w:noWrap/>
            <w:vAlign w:val="bottom"/>
            <w:hideMark/>
          </w:tcPr>
          <w:p w:rsidR="009306CB" w:rsidRPr="00581F1F" w:rsidRDefault="009306CB" w:rsidP="009306C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30</w:t>
            </w:r>
          </w:p>
        </w:tc>
      </w:tr>
    </w:tbl>
    <w:p w:rsidR="009306CB" w:rsidRPr="00581F1F" w:rsidRDefault="009306CB" w:rsidP="009306CB">
      <w:pPr>
        <w:pStyle w:val="Default"/>
        <w:jc w:val="center"/>
        <w:rPr>
          <w:sz w:val="16"/>
          <w:szCs w:val="16"/>
        </w:rPr>
      </w:pPr>
    </w:p>
    <w:p w:rsidR="009306CB" w:rsidRPr="00581F1F" w:rsidRDefault="009306CB" w:rsidP="009306CB">
      <w:pPr>
        <w:pStyle w:val="Default"/>
        <w:jc w:val="both"/>
        <w:rPr>
          <w:sz w:val="20"/>
          <w:szCs w:val="20"/>
        </w:rPr>
      </w:pPr>
      <w:r w:rsidRPr="00581F1F">
        <w:rPr>
          <w:sz w:val="20"/>
          <w:szCs w:val="20"/>
        </w:rPr>
        <w:t xml:space="preserve">Los bienes muebles y activos intangibles al </w:t>
      </w:r>
      <w:r w:rsidR="0070456A">
        <w:rPr>
          <w:sz w:val="20"/>
          <w:szCs w:val="20"/>
        </w:rPr>
        <w:t>3</w:t>
      </w:r>
      <w:r w:rsidR="00BA4049">
        <w:rPr>
          <w:sz w:val="20"/>
          <w:szCs w:val="20"/>
        </w:rPr>
        <w:t>0</w:t>
      </w:r>
      <w:r w:rsidRPr="00581F1F">
        <w:rPr>
          <w:sz w:val="20"/>
          <w:szCs w:val="20"/>
        </w:rPr>
        <w:t xml:space="preserve"> de </w:t>
      </w:r>
      <w:r w:rsidR="00BA4049">
        <w:rPr>
          <w:sz w:val="20"/>
          <w:szCs w:val="20"/>
        </w:rPr>
        <w:t>junio</w:t>
      </w:r>
      <w:r w:rsidRPr="00581F1F">
        <w:rPr>
          <w:sz w:val="20"/>
          <w:szCs w:val="20"/>
        </w:rPr>
        <w:t xml:space="preserve"> de 20</w:t>
      </w:r>
      <w:r w:rsidR="00BC66BB">
        <w:rPr>
          <w:sz w:val="20"/>
          <w:szCs w:val="20"/>
        </w:rPr>
        <w:t>20</w:t>
      </w:r>
      <w:r w:rsidRPr="00581F1F">
        <w:rPr>
          <w:sz w:val="20"/>
          <w:szCs w:val="20"/>
        </w:rPr>
        <w:t xml:space="preserve"> y </w:t>
      </w:r>
      <w:r w:rsidR="00A71B86" w:rsidRPr="00581F1F">
        <w:rPr>
          <w:sz w:val="20"/>
          <w:szCs w:val="20"/>
        </w:rPr>
        <w:t xml:space="preserve">31 de diciembre de </w:t>
      </w:r>
      <w:r w:rsidRPr="00581F1F">
        <w:rPr>
          <w:sz w:val="20"/>
          <w:szCs w:val="20"/>
        </w:rPr>
        <w:t>201</w:t>
      </w:r>
      <w:r w:rsidR="00BC66BB">
        <w:rPr>
          <w:sz w:val="20"/>
          <w:szCs w:val="20"/>
        </w:rPr>
        <w:t>9</w:t>
      </w:r>
      <w:r w:rsidRPr="00581F1F">
        <w:rPr>
          <w:sz w:val="20"/>
          <w:szCs w:val="20"/>
        </w:rPr>
        <w:t xml:space="preserve"> se integran como sigue:</w:t>
      </w:r>
    </w:p>
    <w:p w:rsidR="009306CB" w:rsidRPr="00581F1F" w:rsidRDefault="009306CB" w:rsidP="009306CB">
      <w:pPr>
        <w:pStyle w:val="Default"/>
        <w:jc w:val="both"/>
        <w:rPr>
          <w:sz w:val="16"/>
          <w:szCs w:val="16"/>
        </w:rPr>
      </w:pPr>
    </w:p>
    <w:tbl>
      <w:tblPr>
        <w:tblW w:w="0" w:type="auto"/>
        <w:tblCellMar>
          <w:left w:w="70" w:type="dxa"/>
          <w:right w:w="70" w:type="dxa"/>
        </w:tblCellMar>
        <w:tblLook w:val="04A0" w:firstRow="1" w:lastRow="0" w:firstColumn="1" w:lastColumn="0" w:noHBand="0" w:noVBand="1"/>
      </w:tblPr>
      <w:tblGrid>
        <w:gridCol w:w="1446"/>
        <w:gridCol w:w="1077"/>
        <w:gridCol w:w="1077"/>
        <w:gridCol w:w="1077"/>
        <w:gridCol w:w="146"/>
        <w:gridCol w:w="1252"/>
        <w:gridCol w:w="146"/>
        <w:gridCol w:w="1197"/>
      </w:tblGrid>
      <w:tr w:rsidR="003D3B23" w:rsidRPr="00581F1F" w:rsidTr="0016350B">
        <w:trPr>
          <w:trHeight w:val="300"/>
        </w:trPr>
        <w:tc>
          <w:tcPr>
            <w:tcW w:w="0" w:type="auto"/>
            <w:tcBorders>
              <w:top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20</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504EE2"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BC66BB">
              <w:rPr>
                <w:rFonts w:ascii="Arial" w:hAnsi="Arial" w:cs="Arial"/>
                <w:b/>
                <w:bCs/>
                <w:color w:val="000000"/>
                <w:sz w:val="20"/>
                <w:szCs w:val="20"/>
                <w:u w:val="single"/>
                <w:lang w:val="es-MX" w:eastAsia="es-MX"/>
              </w:rPr>
              <w:t>9</w:t>
            </w:r>
          </w:p>
        </w:tc>
      </w:tr>
      <w:tr w:rsidR="003D3B23" w:rsidRPr="00581F1F" w:rsidTr="0016350B">
        <w:trPr>
          <w:trHeight w:val="285"/>
        </w:trPr>
        <w:tc>
          <w:tcPr>
            <w:tcW w:w="0" w:type="auto"/>
            <w:tcBorders>
              <w:top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r w:rsidRPr="00581F1F">
              <w:rPr>
                <w:rFonts w:ascii="Arial" w:hAnsi="Arial" w:cs="Arial"/>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16"/>
                <w:szCs w:val="16"/>
                <w:lang w:val="es-MX" w:eastAsia="es-MX"/>
              </w:rPr>
            </w:pPr>
          </w:p>
        </w:tc>
      </w:tr>
      <w:tr w:rsidR="00C03D2A" w:rsidRPr="00581F1F" w:rsidTr="0016350B">
        <w:trPr>
          <w:trHeight w:val="285"/>
        </w:trPr>
        <w:tc>
          <w:tcPr>
            <w:tcW w:w="0" w:type="auto"/>
            <w:gridSpan w:val="4"/>
            <w:tcBorders>
              <w:top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Equipo de cómputo y tecnologías de la información</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537E99">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537E99">
              <w:rPr>
                <w:rFonts w:ascii="Arial" w:hAnsi="Arial" w:cs="Arial"/>
                <w:color w:val="000000"/>
                <w:sz w:val="20"/>
                <w:szCs w:val="20"/>
                <w:lang w:val="es-MX" w:eastAsia="es-MX"/>
              </w:rPr>
              <w:t>82</w:t>
            </w:r>
            <w:r w:rsidRPr="00581F1F">
              <w:rPr>
                <w:rFonts w:ascii="Arial" w:hAnsi="Arial" w:cs="Arial"/>
                <w:color w:val="000000"/>
                <w:sz w:val="20"/>
                <w:szCs w:val="20"/>
                <w:lang w:val="es-MX" w:eastAsia="es-MX"/>
              </w:rPr>
              <w:t>,</w:t>
            </w:r>
            <w:r w:rsidR="00537E99">
              <w:rPr>
                <w:rFonts w:ascii="Arial" w:hAnsi="Arial" w:cs="Arial"/>
                <w:color w:val="000000"/>
                <w:sz w:val="20"/>
                <w:szCs w:val="20"/>
                <w:lang w:val="es-MX" w:eastAsia="es-MX"/>
              </w:rPr>
              <w:t>070</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BC66BB">
              <w:rPr>
                <w:rFonts w:ascii="Arial" w:hAnsi="Arial" w:cs="Arial"/>
                <w:color w:val="000000"/>
                <w:sz w:val="20"/>
                <w:szCs w:val="20"/>
                <w:lang w:val="es-MX" w:eastAsia="es-MX"/>
              </w:rPr>
              <w:t>82</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070</w:t>
            </w:r>
            <w:r w:rsidRPr="00581F1F">
              <w:rPr>
                <w:rFonts w:ascii="Arial" w:hAnsi="Arial" w:cs="Arial"/>
                <w:color w:val="000000"/>
                <w:sz w:val="20"/>
                <w:szCs w:val="20"/>
                <w:lang w:val="es-MX" w:eastAsia="es-MX"/>
              </w:rPr>
              <w:t xml:space="preserve"> </w:t>
            </w:r>
          </w:p>
        </w:tc>
      </w:tr>
      <w:tr w:rsidR="00C03D2A" w:rsidRPr="00581F1F" w:rsidTr="0016350B">
        <w:trPr>
          <w:trHeight w:val="285"/>
        </w:trPr>
        <w:tc>
          <w:tcPr>
            <w:tcW w:w="0" w:type="auto"/>
            <w:gridSpan w:val="3"/>
            <w:tcBorders>
              <w:top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Muebles de oficina y estantería</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052840">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052840">
              <w:rPr>
                <w:rFonts w:ascii="Arial" w:hAnsi="Arial" w:cs="Arial"/>
                <w:color w:val="000000"/>
                <w:sz w:val="20"/>
                <w:szCs w:val="20"/>
                <w:lang w:val="es-MX" w:eastAsia="es-MX"/>
              </w:rPr>
              <w:t>43</w:t>
            </w:r>
            <w:r w:rsidRPr="00581F1F">
              <w:rPr>
                <w:rFonts w:ascii="Arial" w:hAnsi="Arial" w:cs="Arial"/>
                <w:color w:val="000000"/>
                <w:sz w:val="20"/>
                <w:szCs w:val="20"/>
                <w:lang w:val="es-MX" w:eastAsia="es-MX"/>
              </w:rPr>
              <w:t>,</w:t>
            </w:r>
            <w:r w:rsidR="00052840">
              <w:rPr>
                <w:rFonts w:ascii="Arial" w:hAnsi="Arial" w:cs="Arial"/>
                <w:color w:val="000000"/>
                <w:sz w:val="20"/>
                <w:szCs w:val="20"/>
                <w:lang w:val="es-MX" w:eastAsia="es-MX"/>
              </w:rPr>
              <w:t>642</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A71B86"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43</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642</w:t>
            </w:r>
          </w:p>
        </w:tc>
      </w:tr>
      <w:tr w:rsidR="003D3B23" w:rsidRPr="00581F1F" w:rsidTr="00052840">
        <w:trPr>
          <w:trHeight w:val="285"/>
        </w:trPr>
        <w:tc>
          <w:tcPr>
            <w:tcW w:w="0" w:type="auto"/>
            <w:gridSpan w:val="2"/>
            <w:tcBorders>
              <w:top w:val="nil"/>
              <w:bottom w:val="nil"/>
              <w:right w:val="nil"/>
            </w:tcBorders>
            <w:shd w:val="clear" w:color="auto" w:fill="auto"/>
            <w:noWrap/>
            <w:vAlign w:val="bottom"/>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single" w:sz="4" w:space="0" w:color="auto"/>
              <w:right w:val="nil"/>
            </w:tcBorders>
            <w:shd w:val="clear" w:color="auto" w:fill="auto"/>
            <w:noWrap/>
            <w:vAlign w:val="bottom"/>
            <w:hideMark/>
          </w:tcPr>
          <w:p w:rsidR="009306CB" w:rsidRPr="00581F1F" w:rsidRDefault="009306CB" w:rsidP="00052840">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9306CB" w:rsidRPr="00581F1F" w:rsidRDefault="009306CB" w:rsidP="009306CB">
            <w:pPr>
              <w:rPr>
                <w:rFonts w:ascii="Arial" w:hAnsi="Arial" w:cs="Arial"/>
                <w:color w:val="000000"/>
                <w:sz w:val="20"/>
                <w:szCs w:val="20"/>
                <w:lang w:val="es-MX" w:eastAsia="es-MX"/>
              </w:rPr>
            </w:pPr>
          </w:p>
        </w:tc>
        <w:tc>
          <w:tcPr>
            <w:tcW w:w="0" w:type="auto"/>
            <w:tcBorders>
              <w:top w:val="nil"/>
              <w:left w:val="nil"/>
              <w:bottom w:val="single" w:sz="4" w:space="0" w:color="auto"/>
              <w:right w:val="nil"/>
            </w:tcBorders>
            <w:shd w:val="clear" w:color="auto" w:fill="auto"/>
            <w:noWrap/>
            <w:vAlign w:val="bottom"/>
            <w:hideMark/>
          </w:tcPr>
          <w:p w:rsidR="009306CB" w:rsidRPr="00581F1F" w:rsidRDefault="009306CB" w:rsidP="00052840">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p>
        </w:tc>
      </w:tr>
      <w:tr w:rsidR="00A71B86" w:rsidRPr="00581F1F" w:rsidTr="00052840">
        <w:trPr>
          <w:trHeight w:val="285"/>
        </w:trPr>
        <w:tc>
          <w:tcPr>
            <w:tcW w:w="0" w:type="auto"/>
            <w:tcBorders>
              <w:top w:val="nil"/>
              <w:bottom w:val="nil"/>
              <w:right w:val="nil"/>
            </w:tcBorders>
            <w:shd w:val="clear" w:color="auto" w:fill="auto"/>
            <w:noWrap/>
            <w:vAlign w:val="bottom"/>
            <w:hideMark/>
          </w:tcPr>
          <w:p w:rsidR="00A71B86" w:rsidRPr="00581F1F" w:rsidRDefault="00A71B86"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A71B86" w:rsidRPr="00581F1F" w:rsidRDefault="00A71B86" w:rsidP="00537E99">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052840">
              <w:rPr>
                <w:rFonts w:ascii="Arial" w:hAnsi="Arial" w:cs="Arial"/>
                <w:color w:val="000000"/>
                <w:sz w:val="20"/>
                <w:szCs w:val="20"/>
                <w:lang w:val="es-MX" w:eastAsia="es-MX"/>
              </w:rPr>
              <w:t>1</w:t>
            </w:r>
            <w:r w:rsidR="00537E99">
              <w:rPr>
                <w:rFonts w:ascii="Arial" w:hAnsi="Arial" w:cs="Arial"/>
                <w:color w:val="000000"/>
                <w:sz w:val="20"/>
                <w:szCs w:val="20"/>
                <w:lang w:val="es-MX" w:eastAsia="es-MX"/>
              </w:rPr>
              <w:t>25</w:t>
            </w:r>
            <w:r w:rsidRPr="00581F1F">
              <w:rPr>
                <w:rFonts w:ascii="Arial" w:hAnsi="Arial" w:cs="Arial"/>
                <w:color w:val="000000"/>
                <w:sz w:val="20"/>
                <w:szCs w:val="20"/>
                <w:lang w:val="es-MX" w:eastAsia="es-MX"/>
              </w:rPr>
              <w:t>,</w:t>
            </w:r>
            <w:r w:rsidR="00537E99">
              <w:rPr>
                <w:rFonts w:ascii="Arial" w:hAnsi="Arial" w:cs="Arial"/>
                <w:color w:val="000000"/>
                <w:sz w:val="20"/>
                <w:szCs w:val="20"/>
                <w:lang w:val="es-MX" w:eastAsia="es-MX"/>
              </w:rPr>
              <w:t>713</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A71B86" w:rsidRPr="00581F1F" w:rsidRDefault="00A71B86"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A71B86" w:rsidRPr="00581F1F" w:rsidRDefault="00A71B86"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A40D88">
              <w:rPr>
                <w:rFonts w:ascii="Arial" w:hAnsi="Arial" w:cs="Arial"/>
                <w:color w:val="000000"/>
                <w:sz w:val="20"/>
                <w:szCs w:val="20"/>
                <w:lang w:val="es-MX" w:eastAsia="es-MX"/>
              </w:rPr>
              <w:t>1</w:t>
            </w:r>
            <w:r w:rsidR="00BC66BB">
              <w:rPr>
                <w:rFonts w:ascii="Arial" w:hAnsi="Arial" w:cs="Arial"/>
                <w:color w:val="000000"/>
                <w:sz w:val="20"/>
                <w:szCs w:val="20"/>
                <w:lang w:val="es-MX" w:eastAsia="es-MX"/>
              </w:rPr>
              <w:t>25</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713</w:t>
            </w:r>
            <w:r w:rsidRPr="00581F1F">
              <w:rPr>
                <w:rFonts w:ascii="Arial" w:hAnsi="Arial" w:cs="Arial"/>
                <w:color w:val="000000"/>
                <w:sz w:val="20"/>
                <w:szCs w:val="20"/>
                <w:lang w:val="es-MX" w:eastAsia="es-MX"/>
              </w:rPr>
              <w:t xml:space="preserve"> </w:t>
            </w:r>
          </w:p>
        </w:tc>
      </w:tr>
      <w:tr w:rsidR="00504EE2" w:rsidRPr="00581F1F" w:rsidTr="0016350B">
        <w:trPr>
          <w:trHeight w:val="285"/>
        </w:trPr>
        <w:tc>
          <w:tcPr>
            <w:tcW w:w="0" w:type="auto"/>
            <w:gridSpan w:val="4"/>
            <w:tcBorders>
              <w:top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 Depreciación y amortización acumulada</w:t>
            </w: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single" w:sz="4" w:space="0" w:color="auto"/>
              <w:right w:val="nil"/>
            </w:tcBorders>
            <w:shd w:val="clear" w:color="auto" w:fill="auto"/>
            <w:noWrap/>
            <w:vAlign w:val="bottom"/>
            <w:hideMark/>
          </w:tcPr>
          <w:p w:rsidR="00504EE2" w:rsidRPr="00581F1F" w:rsidRDefault="00504EE2" w:rsidP="00BA4049">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A4049">
              <w:rPr>
                <w:rFonts w:ascii="Arial" w:hAnsi="Arial" w:cs="Arial"/>
                <w:color w:val="000000"/>
                <w:sz w:val="20"/>
                <w:szCs w:val="20"/>
                <w:lang w:val="es-MX" w:eastAsia="es-MX"/>
              </w:rPr>
              <w:t>56</w:t>
            </w:r>
            <w:r w:rsidRPr="00581F1F">
              <w:rPr>
                <w:rFonts w:ascii="Arial" w:hAnsi="Arial" w:cs="Arial"/>
                <w:color w:val="000000"/>
                <w:sz w:val="20"/>
                <w:szCs w:val="20"/>
                <w:lang w:val="es-MX" w:eastAsia="es-MX"/>
              </w:rPr>
              <w:t>,</w:t>
            </w:r>
            <w:r w:rsidR="00FA32E3">
              <w:rPr>
                <w:rFonts w:ascii="Arial" w:hAnsi="Arial" w:cs="Arial"/>
                <w:color w:val="000000"/>
                <w:sz w:val="20"/>
                <w:szCs w:val="20"/>
                <w:lang w:val="es-MX" w:eastAsia="es-MX"/>
              </w:rPr>
              <w:t>5</w:t>
            </w:r>
            <w:r w:rsidR="00BA4049">
              <w:rPr>
                <w:rFonts w:ascii="Arial" w:hAnsi="Arial" w:cs="Arial"/>
                <w:color w:val="000000"/>
                <w:sz w:val="20"/>
                <w:szCs w:val="20"/>
                <w:lang w:val="es-MX" w:eastAsia="es-MX"/>
              </w:rPr>
              <w:t>17</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single" w:sz="4" w:space="0" w:color="auto"/>
              <w:right w:val="nil"/>
            </w:tcBorders>
            <w:shd w:val="clear" w:color="auto" w:fill="auto"/>
            <w:noWrap/>
            <w:vAlign w:val="bottom"/>
            <w:hideMark/>
          </w:tcPr>
          <w:p w:rsidR="00504EE2" w:rsidRPr="00581F1F" w:rsidRDefault="00504EE2"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40</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670</w:t>
            </w:r>
            <w:r w:rsidRPr="00581F1F">
              <w:rPr>
                <w:rFonts w:ascii="Arial" w:hAnsi="Arial" w:cs="Arial"/>
                <w:color w:val="000000"/>
                <w:sz w:val="20"/>
                <w:szCs w:val="20"/>
                <w:lang w:val="es-MX" w:eastAsia="es-MX"/>
              </w:rPr>
              <w:t xml:space="preserve">) </w:t>
            </w:r>
          </w:p>
        </w:tc>
      </w:tr>
      <w:tr w:rsidR="00504EE2" w:rsidRPr="00581F1F" w:rsidTr="0016350B">
        <w:trPr>
          <w:trHeight w:val="315"/>
        </w:trPr>
        <w:tc>
          <w:tcPr>
            <w:tcW w:w="0" w:type="auto"/>
            <w:tcBorders>
              <w:top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double" w:sz="6" w:space="0" w:color="auto"/>
              <w:right w:val="nil"/>
            </w:tcBorders>
            <w:shd w:val="clear" w:color="auto" w:fill="auto"/>
            <w:noWrap/>
            <w:vAlign w:val="bottom"/>
            <w:hideMark/>
          </w:tcPr>
          <w:p w:rsidR="00504EE2" w:rsidRPr="00581F1F" w:rsidRDefault="00504EE2" w:rsidP="00BA4049">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BA4049">
              <w:rPr>
                <w:rFonts w:ascii="Arial" w:hAnsi="Arial" w:cs="Arial"/>
                <w:b/>
                <w:bCs/>
                <w:color w:val="000000"/>
                <w:sz w:val="20"/>
                <w:szCs w:val="20"/>
                <w:lang w:val="es-MX" w:eastAsia="es-MX"/>
              </w:rPr>
              <w:t>69</w:t>
            </w:r>
            <w:r w:rsidRPr="00581F1F">
              <w:rPr>
                <w:rFonts w:ascii="Arial" w:hAnsi="Arial" w:cs="Arial"/>
                <w:b/>
                <w:bCs/>
                <w:color w:val="000000"/>
                <w:sz w:val="20"/>
                <w:szCs w:val="20"/>
                <w:lang w:val="es-MX" w:eastAsia="es-MX"/>
              </w:rPr>
              <w:t>,</w:t>
            </w:r>
            <w:r w:rsidR="00FA32E3">
              <w:rPr>
                <w:rFonts w:ascii="Arial" w:hAnsi="Arial" w:cs="Arial"/>
                <w:b/>
                <w:bCs/>
                <w:color w:val="000000"/>
                <w:sz w:val="20"/>
                <w:szCs w:val="20"/>
                <w:lang w:val="es-MX" w:eastAsia="es-MX"/>
              </w:rPr>
              <w:t>1</w:t>
            </w:r>
            <w:r w:rsidR="00BA4049">
              <w:rPr>
                <w:rFonts w:ascii="Arial" w:hAnsi="Arial" w:cs="Arial"/>
                <w:b/>
                <w:bCs/>
                <w:color w:val="000000"/>
                <w:sz w:val="20"/>
                <w:szCs w:val="20"/>
                <w:lang w:val="es-MX" w:eastAsia="es-MX"/>
              </w:rPr>
              <w:t>96</w:t>
            </w:r>
          </w:p>
        </w:tc>
        <w:tc>
          <w:tcPr>
            <w:tcW w:w="0" w:type="auto"/>
            <w:tcBorders>
              <w:top w:val="nil"/>
              <w:left w:val="nil"/>
              <w:bottom w:val="nil"/>
              <w:right w:val="nil"/>
            </w:tcBorders>
            <w:shd w:val="clear" w:color="auto" w:fill="auto"/>
            <w:noWrap/>
            <w:vAlign w:val="bottom"/>
            <w:hideMark/>
          </w:tcPr>
          <w:p w:rsidR="00504EE2" w:rsidRPr="00581F1F" w:rsidRDefault="00504EE2" w:rsidP="009306CB">
            <w:pPr>
              <w:rPr>
                <w:rFonts w:ascii="Arial" w:hAnsi="Arial" w:cs="Arial"/>
                <w:color w:val="000000"/>
                <w:sz w:val="20"/>
                <w:szCs w:val="20"/>
                <w:lang w:val="es-MX" w:eastAsia="es-MX"/>
              </w:rPr>
            </w:pPr>
          </w:p>
        </w:tc>
        <w:tc>
          <w:tcPr>
            <w:tcW w:w="0" w:type="auto"/>
            <w:tcBorders>
              <w:top w:val="nil"/>
              <w:left w:val="nil"/>
              <w:bottom w:val="double" w:sz="6" w:space="0" w:color="auto"/>
              <w:right w:val="nil"/>
            </w:tcBorders>
            <w:shd w:val="clear" w:color="auto" w:fill="auto"/>
            <w:noWrap/>
            <w:vAlign w:val="bottom"/>
            <w:hideMark/>
          </w:tcPr>
          <w:p w:rsidR="00504EE2" w:rsidRPr="00581F1F" w:rsidRDefault="00504EE2" w:rsidP="00BC66BB">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BC66BB">
              <w:rPr>
                <w:rFonts w:ascii="Arial" w:hAnsi="Arial" w:cs="Arial"/>
                <w:b/>
                <w:bCs/>
                <w:color w:val="000000"/>
                <w:sz w:val="20"/>
                <w:szCs w:val="20"/>
                <w:lang w:val="es-MX" w:eastAsia="es-MX"/>
              </w:rPr>
              <w:t>8</w:t>
            </w:r>
            <w:r w:rsidR="008304A8">
              <w:rPr>
                <w:rFonts w:ascii="Arial" w:hAnsi="Arial" w:cs="Arial"/>
                <w:b/>
                <w:bCs/>
                <w:color w:val="000000"/>
                <w:sz w:val="20"/>
                <w:szCs w:val="20"/>
                <w:lang w:val="es-MX" w:eastAsia="es-MX"/>
              </w:rPr>
              <w:t>5</w:t>
            </w:r>
            <w:r w:rsidRPr="00581F1F">
              <w:rPr>
                <w:rFonts w:ascii="Arial" w:hAnsi="Arial" w:cs="Arial"/>
                <w:b/>
                <w:bCs/>
                <w:color w:val="000000"/>
                <w:sz w:val="20"/>
                <w:szCs w:val="20"/>
                <w:lang w:val="es-MX" w:eastAsia="es-MX"/>
              </w:rPr>
              <w:t>,</w:t>
            </w:r>
            <w:r w:rsidR="00BC66BB">
              <w:rPr>
                <w:rFonts w:ascii="Arial" w:hAnsi="Arial" w:cs="Arial"/>
                <w:b/>
                <w:bCs/>
                <w:color w:val="000000"/>
                <w:sz w:val="20"/>
                <w:szCs w:val="20"/>
                <w:lang w:val="es-MX" w:eastAsia="es-MX"/>
              </w:rPr>
              <w:t>043</w:t>
            </w:r>
          </w:p>
        </w:tc>
      </w:tr>
    </w:tbl>
    <w:p w:rsidR="00A86824" w:rsidRDefault="00A86824" w:rsidP="009306CB">
      <w:pPr>
        <w:pStyle w:val="Default"/>
        <w:jc w:val="both"/>
        <w:rPr>
          <w:sz w:val="16"/>
          <w:szCs w:val="16"/>
        </w:rPr>
      </w:pPr>
    </w:p>
    <w:p w:rsidR="0016350B" w:rsidRPr="00581F1F" w:rsidRDefault="0016350B" w:rsidP="009306CB">
      <w:pPr>
        <w:pStyle w:val="Default"/>
        <w:jc w:val="both"/>
        <w:rPr>
          <w:sz w:val="16"/>
          <w:szCs w:val="16"/>
        </w:rPr>
      </w:pPr>
    </w:p>
    <w:p w:rsidR="0016350B" w:rsidRPr="00581F1F" w:rsidRDefault="0016350B" w:rsidP="009306CB">
      <w:pPr>
        <w:pStyle w:val="Default"/>
        <w:jc w:val="both"/>
        <w:rPr>
          <w:sz w:val="16"/>
          <w:szCs w:val="16"/>
        </w:rPr>
      </w:pPr>
    </w:p>
    <w:p w:rsidR="00C03D2A" w:rsidRPr="00581F1F" w:rsidRDefault="00C03D2A" w:rsidP="00007BA2">
      <w:pPr>
        <w:pStyle w:val="Default"/>
        <w:numPr>
          <w:ilvl w:val="0"/>
          <w:numId w:val="25"/>
        </w:numPr>
        <w:jc w:val="both"/>
        <w:rPr>
          <w:b/>
          <w:sz w:val="20"/>
          <w:szCs w:val="20"/>
          <w:u w:val="single"/>
        </w:rPr>
      </w:pPr>
      <w:r w:rsidRPr="00581F1F">
        <w:rPr>
          <w:b/>
          <w:sz w:val="20"/>
          <w:szCs w:val="20"/>
          <w:u w:val="single"/>
        </w:rPr>
        <w:t>Estimaciones y deterioros</w:t>
      </w:r>
    </w:p>
    <w:p w:rsidR="00C03D2A" w:rsidRPr="00581F1F" w:rsidRDefault="00C03D2A" w:rsidP="00C03D2A">
      <w:pPr>
        <w:pStyle w:val="Default"/>
        <w:jc w:val="both"/>
        <w:rPr>
          <w:sz w:val="20"/>
          <w:szCs w:val="20"/>
        </w:rPr>
      </w:pPr>
      <w:r w:rsidRPr="00581F1F">
        <w:rPr>
          <w:sz w:val="20"/>
          <w:szCs w:val="20"/>
        </w:rPr>
        <w:t xml:space="preserve">Al </w:t>
      </w:r>
      <w:r w:rsidR="0014484C">
        <w:rPr>
          <w:sz w:val="20"/>
          <w:szCs w:val="20"/>
        </w:rPr>
        <w:t>3</w:t>
      </w:r>
      <w:r w:rsidR="00BA4049">
        <w:rPr>
          <w:sz w:val="20"/>
          <w:szCs w:val="20"/>
        </w:rPr>
        <w:t>0</w:t>
      </w:r>
      <w:r w:rsidRPr="00581F1F">
        <w:rPr>
          <w:sz w:val="20"/>
          <w:szCs w:val="20"/>
        </w:rPr>
        <w:t xml:space="preserve"> de </w:t>
      </w:r>
      <w:r w:rsidR="00BA4049">
        <w:rPr>
          <w:sz w:val="20"/>
          <w:szCs w:val="20"/>
        </w:rPr>
        <w:t>junio</w:t>
      </w:r>
      <w:r w:rsidRPr="00581F1F">
        <w:rPr>
          <w:sz w:val="20"/>
          <w:szCs w:val="20"/>
        </w:rPr>
        <w:t xml:space="preserve"> de 20</w:t>
      </w:r>
      <w:r w:rsidR="00BC66BB">
        <w:rPr>
          <w:sz w:val="20"/>
          <w:szCs w:val="20"/>
        </w:rPr>
        <w:t>20</w:t>
      </w:r>
      <w:r w:rsidRPr="00581F1F">
        <w:rPr>
          <w:sz w:val="20"/>
          <w:szCs w:val="20"/>
        </w:rPr>
        <w:t xml:space="preserve"> y </w:t>
      </w:r>
      <w:r w:rsidR="006D02B2" w:rsidRPr="00581F1F">
        <w:rPr>
          <w:sz w:val="20"/>
          <w:szCs w:val="20"/>
        </w:rPr>
        <w:t xml:space="preserve">31 de diciembre de </w:t>
      </w:r>
      <w:r w:rsidRPr="00581F1F">
        <w:rPr>
          <w:sz w:val="20"/>
          <w:szCs w:val="20"/>
        </w:rPr>
        <w:t>201</w:t>
      </w:r>
      <w:r w:rsidR="00BC66BB">
        <w:rPr>
          <w:sz w:val="20"/>
          <w:szCs w:val="20"/>
        </w:rPr>
        <w:t>9</w:t>
      </w:r>
      <w:r w:rsidRPr="00581F1F">
        <w:rPr>
          <w:sz w:val="20"/>
          <w:szCs w:val="20"/>
        </w:rPr>
        <w:t xml:space="preserve"> las estimaciones y deterioros se integran de la siguiente manera:</w:t>
      </w:r>
    </w:p>
    <w:tbl>
      <w:tblPr>
        <w:tblW w:w="0" w:type="auto"/>
        <w:tblCellMar>
          <w:left w:w="70" w:type="dxa"/>
          <w:right w:w="70" w:type="dxa"/>
        </w:tblCellMar>
        <w:tblLook w:val="04A0" w:firstRow="1" w:lastRow="0" w:firstColumn="1" w:lastColumn="0" w:noHBand="0" w:noVBand="1"/>
      </w:tblPr>
      <w:tblGrid>
        <w:gridCol w:w="921"/>
        <w:gridCol w:w="686"/>
        <w:gridCol w:w="686"/>
        <w:gridCol w:w="686"/>
        <w:gridCol w:w="686"/>
        <w:gridCol w:w="146"/>
        <w:gridCol w:w="146"/>
        <w:gridCol w:w="146"/>
        <w:gridCol w:w="146"/>
        <w:gridCol w:w="146"/>
        <w:gridCol w:w="146"/>
        <w:gridCol w:w="146"/>
        <w:gridCol w:w="146"/>
        <w:gridCol w:w="160"/>
        <w:gridCol w:w="160"/>
        <w:gridCol w:w="1330"/>
        <w:gridCol w:w="160"/>
        <w:gridCol w:w="1330"/>
      </w:tblGrid>
      <w:tr w:rsidR="00E90D94" w:rsidRPr="00581F1F" w:rsidTr="00E90D94">
        <w:trPr>
          <w:trHeight w:val="300"/>
        </w:trPr>
        <w:tc>
          <w:tcPr>
            <w:tcW w:w="0" w:type="auto"/>
            <w:tcBorders>
              <w:top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p w:rsidR="00E90D94" w:rsidRPr="00581F1F" w:rsidRDefault="00E90D94" w:rsidP="00C03D2A">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160" w:type="dxa"/>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160" w:type="dxa"/>
            <w:tcBorders>
              <w:top w:val="nil"/>
              <w:left w:val="nil"/>
              <w:bottom w:val="nil"/>
              <w:right w:val="nil"/>
            </w:tcBorders>
          </w:tcPr>
          <w:p w:rsidR="00E90D94" w:rsidRPr="00581F1F" w:rsidRDefault="00E90D94" w:rsidP="00A40D88">
            <w:pPr>
              <w:jc w:val="center"/>
              <w:rPr>
                <w:rFonts w:ascii="Arial" w:hAnsi="Arial" w:cs="Arial"/>
                <w:b/>
                <w:bCs/>
                <w:color w:val="000000"/>
                <w:sz w:val="20"/>
                <w:szCs w:val="20"/>
                <w:u w:val="single"/>
                <w:lang w:val="es-MX" w:eastAsia="es-MX"/>
              </w:rPr>
            </w:pPr>
          </w:p>
        </w:tc>
        <w:tc>
          <w:tcPr>
            <w:tcW w:w="1330" w:type="dxa"/>
            <w:tcBorders>
              <w:top w:val="nil"/>
              <w:left w:val="nil"/>
              <w:bottom w:val="nil"/>
              <w:right w:val="nil"/>
            </w:tcBorders>
            <w:shd w:val="clear" w:color="auto" w:fill="auto"/>
            <w:noWrap/>
            <w:vAlign w:val="bottom"/>
            <w:hideMark/>
          </w:tcPr>
          <w:p w:rsidR="00E90D94" w:rsidRPr="00581F1F" w:rsidRDefault="00E90D94"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20</w:t>
            </w:r>
          </w:p>
        </w:tc>
        <w:tc>
          <w:tcPr>
            <w:tcW w:w="160" w:type="dxa"/>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BC66BB">
              <w:rPr>
                <w:rFonts w:ascii="Arial" w:hAnsi="Arial" w:cs="Arial"/>
                <w:b/>
                <w:bCs/>
                <w:color w:val="000000"/>
                <w:sz w:val="20"/>
                <w:szCs w:val="20"/>
                <w:u w:val="single"/>
                <w:lang w:val="es-MX" w:eastAsia="es-MX"/>
              </w:rPr>
              <w:t>9</w:t>
            </w:r>
          </w:p>
        </w:tc>
      </w:tr>
      <w:tr w:rsidR="00E90D94" w:rsidRPr="00581F1F" w:rsidTr="00E90D94">
        <w:trPr>
          <w:trHeight w:val="285"/>
        </w:trPr>
        <w:tc>
          <w:tcPr>
            <w:tcW w:w="0" w:type="auto"/>
            <w:tcBorders>
              <w:top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r w:rsidRPr="00581F1F">
              <w:rPr>
                <w:rFonts w:ascii="Arial" w:hAnsi="Arial" w:cs="Arial"/>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160" w:type="dxa"/>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160" w:type="dxa"/>
            <w:tcBorders>
              <w:top w:val="nil"/>
              <w:left w:val="nil"/>
              <w:bottom w:val="nil"/>
              <w:right w:val="nil"/>
            </w:tcBorders>
          </w:tcPr>
          <w:p w:rsidR="00E90D94" w:rsidRPr="00581F1F" w:rsidRDefault="00E90D94" w:rsidP="00C03D2A">
            <w:pPr>
              <w:rPr>
                <w:rFonts w:ascii="Arial" w:hAnsi="Arial" w:cs="Arial"/>
                <w:color w:val="000000"/>
                <w:sz w:val="16"/>
                <w:szCs w:val="16"/>
                <w:lang w:val="es-MX" w:eastAsia="es-MX"/>
              </w:rPr>
            </w:pPr>
          </w:p>
        </w:tc>
        <w:tc>
          <w:tcPr>
            <w:tcW w:w="1330" w:type="dxa"/>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16"/>
                <w:szCs w:val="16"/>
                <w:lang w:val="es-MX" w:eastAsia="es-MX"/>
              </w:rPr>
            </w:pPr>
          </w:p>
        </w:tc>
      </w:tr>
      <w:tr w:rsidR="00E90D94" w:rsidRPr="00581F1F" w:rsidTr="00E90D94">
        <w:trPr>
          <w:trHeight w:val="285"/>
        </w:trPr>
        <w:tc>
          <w:tcPr>
            <w:tcW w:w="0" w:type="auto"/>
            <w:gridSpan w:val="5"/>
            <w:tcBorders>
              <w:top w:val="nil"/>
              <w:bottom w:val="nil"/>
              <w:right w:val="nil"/>
            </w:tcBorders>
            <w:shd w:val="clear" w:color="auto" w:fill="auto"/>
            <w:noWrap/>
            <w:vAlign w:val="bottom"/>
            <w:hideMark/>
          </w:tcPr>
          <w:p w:rsidR="00E90D94" w:rsidRPr="00581F1F" w:rsidRDefault="00E90D94" w:rsidP="009D4D70">
            <w:pP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Estimación para cuentas incobrables </w:t>
            </w: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right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0" w:type="auto"/>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160" w:type="dxa"/>
            <w:tcBorders>
              <w:top w:val="nil"/>
              <w:bottom w:val="nil"/>
            </w:tcBorders>
          </w:tcPr>
          <w:p w:rsidR="00E90D94" w:rsidRPr="00581F1F" w:rsidRDefault="00E90D94" w:rsidP="003950E4">
            <w:pPr>
              <w:jc w:val="center"/>
              <w:rPr>
                <w:rFonts w:ascii="Arial" w:hAnsi="Arial" w:cs="Arial"/>
                <w:color w:val="000000"/>
                <w:sz w:val="20"/>
                <w:szCs w:val="20"/>
                <w:lang w:val="es-MX" w:eastAsia="es-MX"/>
              </w:rPr>
            </w:pPr>
          </w:p>
        </w:tc>
        <w:tc>
          <w:tcPr>
            <w:tcW w:w="160" w:type="dxa"/>
            <w:tcBorders>
              <w:top w:val="nil"/>
              <w:bottom w:val="nil"/>
              <w:right w:val="nil"/>
            </w:tcBorders>
          </w:tcPr>
          <w:p w:rsidR="00E90D94" w:rsidRPr="00581F1F" w:rsidRDefault="00E90D94" w:rsidP="003950E4">
            <w:pPr>
              <w:jc w:val="center"/>
              <w:rPr>
                <w:rFonts w:ascii="Arial" w:hAnsi="Arial" w:cs="Arial"/>
                <w:color w:val="000000"/>
                <w:sz w:val="20"/>
                <w:szCs w:val="20"/>
                <w:lang w:val="es-MX" w:eastAsia="es-MX"/>
              </w:rPr>
            </w:pPr>
          </w:p>
        </w:tc>
        <w:tc>
          <w:tcPr>
            <w:tcW w:w="1330" w:type="dxa"/>
            <w:tcBorders>
              <w:top w:val="nil"/>
              <w:left w:val="nil"/>
              <w:bottom w:val="nil"/>
              <w:right w:val="nil"/>
            </w:tcBorders>
            <w:shd w:val="clear" w:color="auto" w:fill="auto"/>
            <w:noWrap/>
            <w:vAlign w:val="bottom"/>
            <w:hideMark/>
          </w:tcPr>
          <w:p w:rsidR="00E90D94" w:rsidRPr="00581F1F" w:rsidRDefault="00E90D94" w:rsidP="00BA4049">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r w:rsidR="0038791D">
              <w:rPr>
                <w:rFonts w:ascii="Arial" w:hAnsi="Arial" w:cs="Arial"/>
                <w:color w:val="000000"/>
                <w:sz w:val="20"/>
                <w:szCs w:val="20"/>
                <w:lang w:val="es-MX" w:eastAsia="es-MX"/>
              </w:rPr>
              <w:t>3</w:t>
            </w:r>
            <w:r w:rsidRPr="00581F1F">
              <w:rPr>
                <w:rFonts w:ascii="Arial" w:hAnsi="Arial" w:cs="Arial"/>
                <w:color w:val="000000"/>
                <w:sz w:val="20"/>
                <w:szCs w:val="20"/>
                <w:lang w:val="es-MX" w:eastAsia="es-MX"/>
              </w:rPr>
              <w:t>,</w:t>
            </w:r>
            <w:r w:rsidR="0038791D">
              <w:rPr>
                <w:rFonts w:ascii="Arial" w:hAnsi="Arial" w:cs="Arial"/>
                <w:color w:val="000000"/>
                <w:sz w:val="20"/>
                <w:szCs w:val="20"/>
                <w:lang w:val="es-MX" w:eastAsia="es-MX"/>
              </w:rPr>
              <w:t>1</w:t>
            </w:r>
            <w:r w:rsidR="00BA4049">
              <w:rPr>
                <w:rFonts w:ascii="Arial" w:hAnsi="Arial" w:cs="Arial"/>
                <w:color w:val="000000"/>
                <w:sz w:val="20"/>
                <w:szCs w:val="20"/>
                <w:lang w:val="es-MX" w:eastAsia="es-MX"/>
              </w:rPr>
              <w:t>50</w:t>
            </w:r>
            <w:r w:rsidRPr="00581F1F">
              <w:rPr>
                <w:rFonts w:ascii="Arial" w:hAnsi="Arial" w:cs="Arial"/>
                <w:color w:val="000000"/>
                <w:sz w:val="20"/>
                <w:szCs w:val="20"/>
                <w:lang w:val="es-MX" w:eastAsia="es-MX"/>
              </w:rPr>
              <w:t>,</w:t>
            </w:r>
            <w:r w:rsidR="00BA4049">
              <w:rPr>
                <w:rFonts w:ascii="Arial" w:hAnsi="Arial" w:cs="Arial"/>
                <w:color w:val="000000"/>
                <w:sz w:val="20"/>
                <w:szCs w:val="20"/>
                <w:lang w:val="es-MX" w:eastAsia="es-MX"/>
              </w:rPr>
              <w:t>535</w:t>
            </w:r>
            <w:r w:rsidRPr="00581F1F">
              <w:rPr>
                <w:rFonts w:ascii="Arial" w:hAnsi="Arial" w:cs="Arial"/>
                <w:color w:val="000000"/>
                <w:sz w:val="20"/>
                <w:szCs w:val="20"/>
                <w:lang w:val="es-MX" w:eastAsia="es-MX"/>
              </w:rPr>
              <w:t>)</w:t>
            </w:r>
          </w:p>
        </w:tc>
        <w:tc>
          <w:tcPr>
            <w:tcW w:w="160" w:type="dxa"/>
            <w:tcBorders>
              <w:top w:val="nil"/>
              <w:left w:val="nil"/>
              <w:bottom w:val="nil"/>
              <w:right w:val="nil"/>
            </w:tcBorders>
            <w:shd w:val="clear" w:color="auto" w:fill="auto"/>
            <w:noWrap/>
            <w:vAlign w:val="bottom"/>
            <w:hideMark/>
          </w:tcPr>
          <w:p w:rsidR="00E90D94" w:rsidRPr="00581F1F" w:rsidRDefault="00E90D94" w:rsidP="00C03D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E90D94" w:rsidRPr="00581F1F" w:rsidRDefault="00E90D94" w:rsidP="00BC66BB">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r w:rsidR="00BC66BB">
              <w:rPr>
                <w:rFonts w:ascii="Arial" w:hAnsi="Arial" w:cs="Arial"/>
                <w:color w:val="000000"/>
                <w:sz w:val="20"/>
                <w:szCs w:val="20"/>
                <w:lang w:val="es-MX" w:eastAsia="es-MX"/>
              </w:rPr>
              <w:t>2</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963</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932</w:t>
            </w:r>
            <w:r w:rsidRPr="00581F1F">
              <w:rPr>
                <w:rFonts w:ascii="Arial" w:hAnsi="Arial" w:cs="Arial"/>
                <w:color w:val="000000"/>
                <w:sz w:val="20"/>
                <w:szCs w:val="20"/>
                <w:lang w:val="es-MX" w:eastAsia="es-MX"/>
              </w:rPr>
              <w:t>)</w:t>
            </w:r>
          </w:p>
        </w:tc>
      </w:tr>
    </w:tbl>
    <w:p w:rsidR="00C03D2A" w:rsidRPr="00581F1F" w:rsidRDefault="00C03D2A" w:rsidP="00C03D2A">
      <w:pPr>
        <w:pStyle w:val="Default"/>
        <w:jc w:val="both"/>
        <w:rPr>
          <w:sz w:val="16"/>
          <w:szCs w:val="16"/>
        </w:rPr>
      </w:pPr>
    </w:p>
    <w:p w:rsidR="006D02B2" w:rsidRPr="00581F1F" w:rsidRDefault="003950E4" w:rsidP="003950E4">
      <w:pPr>
        <w:jc w:val="both"/>
        <w:rPr>
          <w:sz w:val="16"/>
          <w:szCs w:val="16"/>
        </w:rPr>
      </w:pPr>
      <w:r>
        <w:rPr>
          <w:rFonts w:ascii="Arial" w:hAnsi="Arial" w:cs="Arial"/>
          <w:sz w:val="20"/>
          <w:szCs w:val="20"/>
        </w:rPr>
        <w:t xml:space="preserve">Mensualmente </w:t>
      </w:r>
      <w:r w:rsidR="006D02B2" w:rsidRPr="00581F1F">
        <w:rPr>
          <w:rFonts w:ascii="Arial" w:hAnsi="Arial" w:cs="Arial"/>
          <w:sz w:val="20"/>
          <w:szCs w:val="20"/>
        </w:rPr>
        <w:t xml:space="preserve">se incrementa la estimación de cuentas incobrables por </w:t>
      </w:r>
      <w:r>
        <w:rPr>
          <w:rFonts w:ascii="Arial" w:hAnsi="Arial" w:cs="Arial"/>
          <w:sz w:val="20"/>
          <w:szCs w:val="20"/>
        </w:rPr>
        <w:t>el 10% del resultado del ejercicio.</w:t>
      </w:r>
    </w:p>
    <w:p w:rsidR="003950E4" w:rsidRDefault="00FA36E1" w:rsidP="00C03D2A">
      <w:pPr>
        <w:pStyle w:val="Default"/>
        <w:jc w:val="both"/>
        <w:rPr>
          <w:sz w:val="16"/>
          <w:szCs w:val="16"/>
        </w:rPr>
      </w:pPr>
      <w:r w:rsidRPr="00581F1F">
        <w:rPr>
          <w:sz w:val="20"/>
          <w:szCs w:val="20"/>
        </w:rPr>
        <w:t xml:space="preserve">La estimación de cuentas incobrables fue calificada bajo criterios de recuperabilidad </w:t>
      </w:r>
      <w:r w:rsidR="003950E4">
        <w:rPr>
          <w:sz w:val="20"/>
          <w:szCs w:val="20"/>
        </w:rPr>
        <w:t>y autorizada por el Comité Técnico del Fideicomiso AGROSON.</w:t>
      </w:r>
    </w:p>
    <w:p w:rsidR="00631B78" w:rsidRPr="00581F1F" w:rsidRDefault="00631B78" w:rsidP="00C03D2A">
      <w:pPr>
        <w:pStyle w:val="Default"/>
        <w:jc w:val="both"/>
        <w:rPr>
          <w:sz w:val="16"/>
          <w:szCs w:val="16"/>
        </w:rPr>
      </w:pPr>
    </w:p>
    <w:p w:rsidR="00ED6A55" w:rsidRPr="00581F1F" w:rsidRDefault="00ED6A55" w:rsidP="00C03D2A">
      <w:pPr>
        <w:pStyle w:val="Default"/>
        <w:jc w:val="both"/>
        <w:rPr>
          <w:b/>
          <w:sz w:val="20"/>
          <w:szCs w:val="20"/>
        </w:rPr>
      </w:pPr>
      <w:r w:rsidRPr="00581F1F">
        <w:rPr>
          <w:b/>
          <w:sz w:val="20"/>
          <w:szCs w:val="20"/>
        </w:rPr>
        <w:lastRenderedPageBreak/>
        <w:t>Pasivo</w:t>
      </w:r>
    </w:p>
    <w:p w:rsidR="00ED6A55" w:rsidRPr="00581F1F" w:rsidRDefault="00ED6A55" w:rsidP="00C03D2A">
      <w:pPr>
        <w:pStyle w:val="Default"/>
        <w:jc w:val="both"/>
        <w:rPr>
          <w:b/>
          <w:sz w:val="16"/>
          <w:szCs w:val="16"/>
        </w:rPr>
      </w:pPr>
    </w:p>
    <w:p w:rsidR="00ED6A55" w:rsidRPr="00581F1F" w:rsidRDefault="00ED6A55" w:rsidP="00007BA2">
      <w:pPr>
        <w:pStyle w:val="Default"/>
        <w:numPr>
          <w:ilvl w:val="0"/>
          <w:numId w:val="25"/>
        </w:numPr>
        <w:jc w:val="both"/>
        <w:rPr>
          <w:b/>
          <w:sz w:val="20"/>
          <w:szCs w:val="20"/>
          <w:u w:val="single"/>
        </w:rPr>
      </w:pPr>
      <w:r w:rsidRPr="00581F1F">
        <w:rPr>
          <w:b/>
          <w:sz w:val="20"/>
          <w:szCs w:val="20"/>
          <w:u w:val="single"/>
        </w:rPr>
        <w:t>Cuentas por pagar a corto plazo</w:t>
      </w:r>
    </w:p>
    <w:p w:rsidR="00ED6A55" w:rsidRPr="00581F1F" w:rsidRDefault="00ED6A55" w:rsidP="00ED6A55">
      <w:pPr>
        <w:pStyle w:val="Default"/>
        <w:jc w:val="both"/>
        <w:rPr>
          <w:sz w:val="20"/>
          <w:szCs w:val="20"/>
        </w:rPr>
      </w:pPr>
      <w:r w:rsidRPr="00581F1F">
        <w:rPr>
          <w:sz w:val="20"/>
          <w:szCs w:val="20"/>
        </w:rPr>
        <w:t xml:space="preserve">Este rubro se integra de la siguiente manera al </w:t>
      </w:r>
      <w:r w:rsidR="003950E4">
        <w:rPr>
          <w:sz w:val="20"/>
          <w:szCs w:val="20"/>
        </w:rPr>
        <w:t>3</w:t>
      </w:r>
      <w:r w:rsidR="00BA4049">
        <w:rPr>
          <w:sz w:val="20"/>
          <w:szCs w:val="20"/>
        </w:rPr>
        <w:t>0</w:t>
      </w:r>
      <w:r w:rsidRPr="00581F1F">
        <w:rPr>
          <w:sz w:val="20"/>
          <w:szCs w:val="20"/>
        </w:rPr>
        <w:t xml:space="preserve"> de </w:t>
      </w:r>
      <w:r w:rsidR="00BA4049">
        <w:rPr>
          <w:sz w:val="20"/>
          <w:szCs w:val="20"/>
        </w:rPr>
        <w:t>junio</w:t>
      </w:r>
      <w:r w:rsidRPr="00581F1F">
        <w:rPr>
          <w:sz w:val="20"/>
          <w:szCs w:val="20"/>
        </w:rPr>
        <w:t xml:space="preserve"> de 20</w:t>
      </w:r>
      <w:r w:rsidR="00BC66BB">
        <w:rPr>
          <w:sz w:val="20"/>
          <w:szCs w:val="20"/>
        </w:rPr>
        <w:t>20</w:t>
      </w:r>
      <w:r w:rsidRPr="00581F1F">
        <w:rPr>
          <w:sz w:val="20"/>
          <w:szCs w:val="20"/>
        </w:rPr>
        <w:t xml:space="preserve"> y </w:t>
      </w:r>
      <w:r w:rsidR="0006441D" w:rsidRPr="00581F1F">
        <w:rPr>
          <w:sz w:val="20"/>
          <w:szCs w:val="20"/>
        </w:rPr>
        <w:t xml:space="preserve">31 de diciembre de </w:t>
      </w:r>
      <w:r w:rsidRPr="00581F1F">
        <w:rPr>
          <w:sz w:val="20"/>
          <w:szCs w:val="20"/>
        </w:rPr>
        <w:t>201</w:t>
      </w:r>
      <w:r w:rsidR="00BC66BB">
        <w:rPr>
          <w:sz w:val="20"/>
          <w:szCs w:val="20"/>
        </w:rPr>
        <w:t>9</w:t>
      </w:r>
      <w:r w:rsidRPr="00581F1F">
        <w:rPr>
          <w:sz w:val="20"/>
          <w:szCs w:val="20"/>
        </w:rPr>
        <w:t>:</w:t>
      </w:r>
    </w:p>
    <w:p w:rsidR="00ED6A55" w:rsidRPr="00581F1F" w:rsidRDefault="00ED6A55" w:rsidP="00ED6A55">
      <w:pPr>
        <w:pStyle w:val="Default"/>
        <w:jc w:val="both"/>
        <w:rPr>
          <w:sz w:val="16"/>
          <w:szCs w:val="16"/>
        </w:rPr>
      </w:pPr>
    </w:p>
    <w:tbl>
      <w:tblPr>
        <w:tblW w:w="0" w:type="auto"/>
        <w:tblCellMar>
          <w:left w:w="70" w:type="dxa"/>
          <w:right w:w="70" w:type="dxa"/>
        </w:tblCellMar>
        <w:tblLook w:val="04A0" w:firstRow="1" w:lastRow="0" w:firstColumn="1" w:lastColumn="0" w:noHBand="0" w:noVBand="1"/>
      </w:tblPr>
      <w:tblGrid>
        <w:gridCol w:w="1443"/>
        <w:gridCol w:w="1076"/>
        <w:gridCol w:w="1076"/>
        <w:gridCol w:w="1076"/>
        <w:gridCol w:w="195"/>
        <w:gridCol w:w="1419"/>
        <w:gridCol w:w="146"/>
        <w:gridCol w:w="1419"/>
      </w:tblGrid>
      <w:tr w:rsidR="00B83173" w:rsidRPr="00581F1F" w:rsidTr="0016350B">
        <w:trPr>
          <w:trHeight w:val="300"/>
        </w:trPr>
        <w:tc>
          <w:tcPr>
            <w:tcW w:w="0" w:type="auto"/>
            <w:tcBorders>
              <w:top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20</w:t>
            </w: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BC66BB">
              <w:rPr>
                <w:rFonts w:ascii="Arial" w:hAnsi="Arial" w:cs="Arial"/>
                <w:b/>
                <w:bCs/>
                <w:color w:val="000000"/>
                <w:sz w:val="20"/>
                <w:szCs w:val="20"/>
                <w:u w:val="single"/>
                <w:lang w:val="es-MX" w:eastAsia="es-MX"/>
              </w:rPr>
              <w:t>9</w:t>
            </w:r>
          </w:p>
        </w:tc>
      </w:tr>
      <w:tr w:rsidR="00B83173" w:rsidRPr="00581F1F" w:rsidTr="0016350B">
        <w:trPr>
          <w:trHeight w:val="285"/>
        </w:trPr>
        <w:tc>
          <w:tcPr>
            <w:tcW w:w="0" w:type="auto"/>
            <w:tcBorders>
              <w:top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r w:rsidRPr="00581F1F">
              <w:rPr>
                <w:rFonts w:ascii="Arial" w:hAnsi="Arial" w:cs="Arial"/>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B83173" w:rsidRPr="00581F1F" w:rsidRDefault="00B83173" w:rsidP="00B83173">
            <w:pPr>
              <w:rPr>
                <w:rFonts w:ascii="Arial" w:hAnsi="Arial" w:cs="Arial"/>
                <w:color w:val="000000"/>
                <w:sz w:val="16"/>
                <w:szCs w:val="16"/>
                <w:lang w:val="es-MX" w:eastAsia="es-MX"/>
              </w:rPr>
            </w:pPr>
          </w:p>
        </w:tc>
      </w:tr>
      <w:tr w:rsidR="00504EE2" w:rsidRPr="00581F1F" w:rsidTr="0016350B">
        <w:trPr>
          <w:trHeight w:val="285"/>
        </w:trPr>
        <w:tc>
          <w:tcPr>
            <w:tcW w:w="0" w:type="auto"/>
            <w:gridSpan w:val="4"/>
            <w:tcBorders>
              <w:top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r w:rsidRPr="00581F1F">
              <w:rPr>
                <w:rFonts w:ascii="Arial" w:hAnsi="Arial" w:cs="Arial"/>
                <w:color w:val="000000"/>
                <w:sz w:val="20"/>
                <w:szCs w:val="20"/>
                <w:lang w:val="es-MX" w:eastAsia="es-MX"/>
              </w:rPr>
              <w:t>Otras cuentas por pagar a corto plazo</w:t>
            </w:r>
          </w:p>
        </w:tc>
        <w:tc>
          <w:tcPr>
            <w:tcW w:w="0" w:type="auto"/>
            <w:tcBorders>
              <w:top w:val="nil"/>
              <w:left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BA4049">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1,</w:t>
            </w:r>
            <w:r w:rsidR="003950E4">
              <w:rPr>
                <w:rFonts w:ascii="Arial" w:hAnsi="Arial" w:cs="Arial"/>
                <w:color w:val="000000"/>
                <w:sz w:val="20"/>
                <w:szCs w:val="20"/>
                <w:lang w:val="es-MX" w:eastAsia="es-MX"/>
              </w:rPr>
              <w:t>1</w:t>
            </w:r>
            <w:r w:rsidR="00BA4049">
              <w:rPr>
                <w:rFonts w:ascii="Arial" w:hAnsi="Arial" w:cs="Arial"/>
                <w:color w:val="000000"/>
                <w:sz w:val="20"/>
                <w:szCs w:val="20"/>
                <w:lang w:val="es-MX" w:eastAsia="es-MX"/>
              </w:rPr>
              <w:t>64</w:t>
            </w:r>
            <w:r w:rsidRPr="00581F1F">
              <w:rPr>
                <w:rFonts w:ascii="Arial" w:hAnsi="Arial" w:cs="Arial"/>
                <w:color w:val="000000"/>
                <w:sz w:val="20"/>
                <w:szCs w:val="20"/>
                <w:lang w:val="es-MX" w:eastAsia="es-MX"/>
              </w:rPr>
              <w:t>,</w:t>
            </w:r>
            <w:r w:rsidR="00BA4049">
              <w:rPr>
                <w:rFonts w:ascii="Arial" w:hAnsi="Arial" w:cs="Arial"/>
                <w:color w:val="000000"/>
                <w:sz w:val="20"/>
                <w:szCs w:val="20"/>
                <w:lang w:val="es-MX" w:eastAsia="es-MX"/>
              </w:rPr>
              <w:t>698</w:t>
            </w:r>
          </w:p>
        </w:tc>
        <w:tc>
          <w:tcPr>
            <w:tcW w:w="0" w:type="auto"/>
            <w:tcBorders>
              <w:top w:val="nil"/>
              <w:left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1,</w:t>
            </w:r>
            <w:r w:rsidR="00175D85">
              <w:rPr>
                <w:rFonts w:ascii="Arial" w:hAnsi="Arial" w:cs="Arial"/>
                <w:color w:val="000000"/>
                <w:sz w:val="20"/>
                <w:szCs w:val="20"/>
                <w:lang w:val="es-MX" w:eastAsia="es-MX"/>
              </w:rPr>
              <w:t>138</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725</w:t>
            </w:r>
          </w:p>
        </w:tc>
      </w:tr>
      <w:tr w:rsidR="00504EE2" w:rsidRPr="00581F1F" w:rsidTr="0016350B">
        <w:trPr>
          <w:trHeight w:val="285"/>
        </w:trPr>
        <w:tc>
          <w:tcPr>
            <w:tcW w:w="0" w:type="auto"/>
            <w:gridSpan w:val="5"/>
            <w:tcBorders>
              <w:top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r w:rsidRPr="00581F1F">
              <w:rPr>
                <w:rFonts w:ascii="Arial" w:hAnsi="Arial" w:cs="Arial"/>
                <w:color w:val="000000"/>
                <w:sz w:val="20"/>
                <w:szCs w:val="20"/>
                <w:lang w:val="es-MX" w:eastAsia="es-MX"/>
              </w:rPr>
              <w:t>Retenciones y contribuciones por pagar a corto plazo</w:t>
            </w:r>
          </w:p>
        </w:tc>
        <w:tc>
          <w:tcPr>
            <w:tcW w:w="0" w:type="auto"/>
            <w:tcBorders>
              <w:top w:val="nil"/>
              <w:left w:val="nil"/>
              <w:bottom w:val="nil"/>
              <w:right w:val="nil"/>
            </w:tcBorders>
            <w:shd w:val="clear" w:color="auto" w:fill="auto"/>
            <w:noWrap/>
            <w:vAlign w:val="bottom"/>
            <w:hideMark/>
          </w:tcPr>
          <w:p w:rsidR="00504EE2" w:rsidRPr="00581F1F" w:rsidRDefault="00504EE2" w:rsidP="00BA4049">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A4049">
              <w:rPr>
                <w:rFonts w:ascii="Arial" w:hAnsi="Arial" w:cs="Arial"/>
                <w:color w:val="000000"/>
                <w:sz w:val="20"/>
                <w:szCs w:val="20"/>
                <w:lang w:val="es-MX" w:eastAsia="es-MX"/>
              </w:rPr>
              <w:t>25</w:t>
            </w:r>
            <w:r w:rsidRPr="00581F1F">
              <w:rPr>
                <w:rFonts w:ascii="Arial" w:hAnsi="Arial" w:cs="Arial"/>
                <w:color w:val="000000"/>
                <w:sz w:val="20"/>
                <w:szCs w:val="20"/>
                <w:lang w:val="es-MX" w:eastAsia="es-MX"/>
              </w:rPr>
              <w:t>,</w:t>
            </w:r>
            <w:r w:rsidR="00F7766E">
              <w:rPr>
                <w:rFonts w:ascii="Arial" w:hAnsi="Arial" w:cs="Arial"/>
                <w:color w:val="000000"/>
                <w:sz w:val="20"/>
                <w:szCs w:val="20"/>
                <w:lang w:val="es-MX" w:eastAsia="es-MX"/>
              </w:rPr>
              <w:t>9</w:t>
            </w:r>
            <w:r w:rsidR="0038791D">
              <w:rPr>
                <w:rFonts w:ascii="Arial" w:hAnsi="Arial" w:cs="Arial"/>
                <w:color w:val="000000"/>
                <w:sz w:val="20"/>
                <w:szCs w:val="20"/>
                <w:lang w:val="es-MX" w:eastAsia="es-MX"/>
              </w:rPr>
              <w:t>7</w:t>
            </w:r>
            <w:r w:rsidR="00BA4049">
              <w:rPr>
                <w:rFonts w:ascii="Arial" w:hAnsi="Arial" w:cs="Arial"/>
                <w:color w:val="000000"/>
                <w:sz w:val="20"/>
                <w:szCs w:val="20"/>
                <w:lang w:val="es-MX" w:eastAsia="es-MX"/>
              </w:rPr>
              <w:t>3</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04EE2" w:rsidRPr="00581F1F" w:rsidRDefault="00504EE2"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04EE2" w:rsidRPr="00581F1F" w:rsidRDefault="00504EE2"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19</w:t>
            </w:r>
            <w:r w:rsidRPr="00581F1F">
              <w:rPr>
                <w:rFonts w:ascii="Arial" w:hAnsi="Arial" w:cs="Arial"/>
                <w:color w:val="000000"/>
                <w:sz w:val="20"/>
                <w:szCs w:val="20"/>
                <w:lang w:val="es-MX" w:eastAsia="es-MX"/>
              </w:rPr>
              <w:t>,</w:t>
            </w:r>
            <w:r w:rsidR="00175D85">
              <w:rPr>
                <w:rFonts w:ascii="Arial" w:hAnsi="Arial" w:cs="Arial"/>
                <w:color w:val="000000"/>
                <w:sz w:val="20"/>
                <w:szCs w:val="20"/>
                <w:lang w:val="es-MX" w:eastAsia="es-MX"/>
              </w:rPr>
              <w:t>9</w:t>
            </w:r>
            <w:r w:rsidR="00BC66BB">
              <w:rPr>
                <w:rFonts w:ascii="Arial" w:hAnsi="Arial" w:cs="Arial"/>
                <w:color w:val="000000"/>
                <w:sz w:val="20"/>
                <w:szCs w:val="20"/>
                <w:lang w:val="es-MX" w:eastAsia="es-MX"/>
              </w:rPr>
              <w:t>34</w:t>
            </w:r>
            <w:r w:rsidRPr="00581F1F">
              <w:rPr>
                <w:rFonts w:ascii="Arial" w:hAnsi="Arial" w:cs="Arial"/>
                <w:color w:val="000000"/>
                <w:sz w:val="20"/>
                <w:szCs w:val="20"/>
                <w:lang w:val="es-MX" w:eastAsia="es-MX"/>
              </w:rPr>
              <w:t xml:space="preserve"> </w:t>
            </w:r>
          </w:p>
        </w:tc>
      </w:tr>
      <w:tr w:rsidR="00093D0D" w:rsidRPr="00581F1F" w:rsidTr="0016350B">
        <w:trPr>
          <w:trHeight w:val="315"/>
        </w:trPr>
        <w:tc>
          <w:tcPr>
            <w:tcW w:w="0" w:type="auto"/>
            <w:tcBorders>
              <w:top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093D0D" w:rsidRPr="00581F1F" w:rsidRDefault="00093D0D" w:rsidP="0038791D">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Pr="007C7E84">
              <w:rPr>
                <w:rFonts w:ascii="Arial" w:hAnsi="Arial" w:cs="Arial"/>
                <w:b/>
                <w:bCs/>
                <w:color w:val="000000"/>
                <w:sz w:val="20"/>
                <w:szCs w:val="20"/>
                <w:lang w:val="es-MX" w:eastAsia="es-MX"/>
              </w:rPr>
              <w:t xml:space="preserve">$    </w:t>
            </w:r>
            <w:r w:rsidR="00175D85">
              <w:rPr>
                <w:rFonts w:ascii="Arial" w:hAnsi="Arial" w:cs="Arial"/>
                <w:b/>
                <w:bCs/>
                <w:color w:val="000000"/>
                <w:sz w:val="20"/>
                <w:szCs w:val="20"/>
                <w:lang w:val="es-MX" w:eastAsia="es-MX"/>
              </w:rPr>
              <w:t>1</w:t>
            </w:r>
            <w:r w:rsidRPr="007C7E84">
              <w:rPr>
                <w:rFonts w:ascii="Arial" w:hAnsi="Arial" w:cs="Arial"/>
                <w:b/>
                <w:bCs/>
                <w:color w:val="000000"/>
                <w:sz w:val="20"/>
                <w:szCs w:val="20"/>
                <w:lang w:val="es-MX" w:eastAsia="es-MX"/>
              </w:rPr>
              <w:t>,</w:t>
            </w:r>
            <w:r w:rsidR="00175D85">
              <w:rPr>
                <w:rFonts w:ascii="Arial" w:hAnsi="Arial" w:cs="Arial"/>
                <w:b/>
                <w:bCs/>
                <w:color w:val="000000"/>
                <w:sz w:val="20"/>
                <w:szCs w:val="20"/>
                <w:lang w:val="es-MX" w:eastAsia="es-MX"/>
              </w:rPr>
              <w:t>1</w:t>
            </w:r>
            <w:r w:rsidR="0038791D">
              <w:rPr>
                <w:rFonts w:ascii="Arial" w:hAnsi="Arial" w:cs="Arial"/>
                <w:b/>
                <w:bCs/>
                <w:color w:val="000000"/>
                <w:sz w:val="20"/>
                <w:szCs w:val="20"/>
                <w:lang w:val="es-MX" w:eastAsia="es-MX"/>
              </w:rPr>
              <w:t>47</w:t>
            </w:r>
            <w:r w:rsidRPr="007C7E84">
              <w:rPr>
                <w:rFonts w:ascii="Arial" w:hAnsi="Arial" w:cs="Arial"/>
                <w:b/>
                <w:bCs/>
                <w:color w:val="000000"/>
                <w:sz w:val="20"/>
                <w:szCs w:val="20"/>
                <w:lang w:val="es-MX" w:eastAsia="es-MX"/>
              </w:rPr>
              <w:t>,</w:t>
            </w:r>
            <w:r w:rsidR="00F7766E">
              <w:rPr>
                <w:rFonts w:ascii="Arial" w:hAnsi="Arial" w:cs="Arial"/>
                <w:b/>
                <w:bCs/>
                <w:color w:val="000000"/>
                <w:sz w:val="20"/>
                <w:szCs w:val="20"/>
                <w:lang w:val="es-MX" w:eastAsia="es-MX"/>
              </w:rPr>
              <w:t>6</w:t>
            </w:r>
            <w:r w:rsidR="0038791D">
              <w:rPr>
                <w:rFonts w:ascii="Arial" w:hAnsi="Arial" w:cs="Arial"/>
                <w:b/>
                <w:bCs/>
                <w:color w:val="000000"/>
                <w:sz w:val="20"/>
                <w:szCs w:val="20"/>
                <w:lang w:val="es-MX" w:eastAsia="es-MX"/>
              </w:rPr>
              <w:t>9</w:t>
            </w:r>
            <w:r w:rsidR="00F7766E">
              <w:rPr>
                <w:rFonts w:ascii="Arial" w:hAnsi="Arial" w:cs="Arial"/>
                <w:b/>
                <w:bCs/>
                <w:color w:val="000000"/>
                <w:sz w:val="20"/>
                <w:szCs w:val="20"/>
                <w:lang w:val="es-MX" w:eastAsia="es-MX"/>
              </w:rPr>
              <w:t>9</w:t>
            </w:r>
            <w:r w:rsidRPr="00581F1F">
              <w:rPr>
                <w:rFonts w:ascii="Arial" w:hAnsi="Arial" w:cs="Arial"/>
                <w:b/>
                <w:bCs/>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093D0D" w:rsidRPr="00581F1F" w:rsidRDefault="00093D0D" w:rsidP="00B83173">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093D0D" w:rsidRPr="00581F1F" w:rsidRDefault="00093D0D" w:rsidP="00551F4E">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    </w:t>
            </w:r>
            <w:r w:rsidR="00551F4E">
              <w:rPr>
                <w:rFonts w:ascii="Arial" w:hAnsi="Arial" w:cs="Arial"/>
                <w:b/>
                <w:bCs/>
                <w:color w:val="000000"/>
                <w:sz w:val="20"/>
                <w:szCs w:val="20"/>
                <w:lang w:val="es-MX" w:eastAsia="es-MX"/>
              </w:rPr>
              <w:t>1</w:t>
            </w:r>
            <w:r w:rsidRPr="00581F1F">
              <w:rPr>
                <w:rFonts w:ascii="Arial" w:hAnsi="Arial" w:cs="Arial"/>
                <w:b/>
                <w:bCs/>
                <w:color w:val="000000"/>
                <w:sz w:val="20"/>
                <w:szCs w:val="20"/>
                <w:lang w:val="es-MX" w:eastAsia="es-MX"/>
              </w:rPr>
              <w:t>,</w:t>
            </w:r>
            <w:r w:rsidR="00551F4E">
              <w:rPr>
                <w:rFonts w:ascii="Arial" w:hAnsi="Arial" w:cs="Arial"/>
                <w:b/>
                <w:bCs/>
                <w:color w:val="000000"/>
                <w:sz w:val="20"/>
                <w:szCs w:val="20"/>
                <w:lang w:val="es-MX" w:eastAsia="es-MX"/>
              </w:rPr>
              <w:t>352</w:t>
            </w:r>
            <w:r w:rsidRPr="00581F1F">
              <w:rPr>
                <w:rFonts w:ascii="Arial" w:hAnsi="Arial" w:cs="Arial"/>
                <w:b/>
                <w:bCs/>
                <w:color w:val="000000"/>
                <w:sz w:val="20"/>
                <w:szCs w:val="20"/>
                <w:lang w:val="es-MX" w:eastAsia="es-MX"/>
              </w:rPr>
              <w:t>,</w:t>
            </w:r>
            <w:r w:rsidR="00551F4E">
              <w:rPr>
                <w:rFonts w:ascii="Arial" w:hAnsi="Arial" w:cs="Arial"/>
                <w:b/>
                <w:bCs/>
                <w:color w:val="000000"/>
                <w:sz w:val="20"/>
                <w:szCs w:val="20"/>
                <w:lang w:val="es-MX" w:eastAsia="es-MX"/>
              </w:rPr>
              <w:t>201</w:t>
            </w:r>
            <w:r w:rsidRPr="00581F1F">
              <w:rPr>
                <w:rFonts w:ascii="Arial" w:hAnsi="Arial" w:cs="Arial"/>
                <w:b/>
                <w:bCs/>
                <w:color w:val="000000"/>
                <w:sz w:val="20"/>
                <w:szCs w:val="20"/>
                <w:lang w:val="es-MX" w:eastAsia="es-MX"/>
              </w:rPr>
              <w:t xml:space="preserve"> </w:t>
            </w:r>
          </w:p>
        </w:tc>
      </w:tr>
    </w:tbl>
    <w:p w:rsidR="00B83173" w:rsidRPr="00581F1F" w:rsidRDefault="00B83173" w:rsidP="00ED6A55">
      <w:pPr>
        <w:pStyle w:val="Default"/>
        <w:jc w:val="both"/>
        <w:rPr>
          <w:sz w:val="16"/>
          <w:szCs w:val="16"/>
        </w:rPr>
      </w:pPr>
    </w:p>
    <w:p w:rsidR="00551F4E" w:rsidRDefault="00551F4E" w:rsidP="00ED6A55">
      <w:pPr>
        <w:pStyle w:val="Default"/>
        <w:jc w:val="both"/>
        <w:rPr>
          <w:sz w:val="20"/>
          <w:szCs w:val="20"/>
        </w:rPr>
      </w:pPr>
    </w:p>
    <w:p w:rsidR="00713060" w:rsidRPr="00581F1F" w:rsidRDefault="00713060" w:rsidP="00ED6A55">
      <w:pPr>
        <w:pStyle w:val="Default"/>
        <w:jc w:val="both"/>
        <w:rPr>
          <w:sz w:val="20"/>
          <w:szCs w:val="20"/>
        </w:rPr>
      </w:pPr>
      <w:r w:rsidRPr="00581F1F">
        <w:rPr>
          <w:sz w:val="20"/>
          <w:szCs w:val="20"/>
        </w:rPr>
        <w:t xml:space="preserve">La integración de las retenciones y contribuciones por pagar a corto plazo al </w:t>
      </w:r>
      <w:r w:rsidR="00AC66EF">
        <w:rPr>
          <w:sz w:val="20"/>
          <w:szCs w:val="20"/>
        </w:rPr>
        <w:t>3</w:t>
      </w:r>
      <w:r w:rsidR="00BA4049">
        <w:rPr>
          <w:sz w:val="20"/>
          <w:szCs w:val="20"/>
        </w:rPr>
        <w:t>0</w:t>
      </w:r>
      <w:r w:rsidRPr="00581F1F">
        <w:rPr>
          <w:sz w:val="20"/>
          <w:szCs w:val="20"/>
        </w:rPr>
        <w:t xml:space="preserve"> de </w:t>
      </w:r>
      <w:r w:rsidR="00BA4049">
        <w:rPr>
          <w:sz w:val="20"/>
          <w:szCs w:val="20"/>
        </w:rPr>
        <w:t>junio</w:t>
      </w:r>
      <w:r w:rsidRPr="00581F1F">
        <w:rPr>
          <w:sz w:val="20"/>
          <w:szCs w:val="20"/>
        </w:rPr>
        <w:t xml:space="preserve"> de 20</w:t>
      </w:r>
      <w:r w:rsidR="00BC66BB">
        <w:rPr>
          <w:sz w:val="20"/>
          <w:szCs w:val="20"/>
        </w:rPr>
        <w:t>20</w:t>
      </w:r>
      <w:r w:rsidR="00037999" w:rsidRPr="00581F1F">
        <w:rPr>
          <w:sz w:val="20"/>
          <w:szCs w:val="20"/>
        </w:rPr>
        <w:t xml:space="preserve"> y </w:t>
      </w:r>
      <w:r w:rsidR="00563C0E" w:rsidRPr="00581F1F">
        <w:rPr>
          <w:sz w:val="20"/>
          <w:szCs w:val="20"/>
        </w:rPr>
        <w:t xml:space="preserve">31 de diciembre de </w:t>
      </w:r>
      <w:r w:rsidR="00037999" w:rsidRPr="00581F1F">
        <w:rPr>
          <w:sz w:val="20"/>
          <w:szCs w:val="20"/>
        </w:rPr>
        <w:t>201</w:t>
      </w:r>
      <w:r w:rsidR="00BC66BB">
        <w:rPr>
          <w:sz w:val="20"/>
          <w:szCs w:val="20"/>
        </w:rPr>
        <w:t>9</w:t>
      </w:r>
      <w:r w:rsidR="00037999" w:rsidRPr="00581F1F">
        <w:rPr>
          <w:sz w:val="20"/>
          <w:szCs w:val="20"/>
        </w:rPr>
        <w:t xml:space="preserve"> </w:t>
      </w:r>
      <w:r w:rsidRPr="00581F1F">
        <w:rPr>
          <w:sz w:val="20"/>
          <w:szCs w:val="20"/>
        </w:rPr>
        <w:t>e</w:t>
      </w:r>
      <w:r w:rsidR="009D4D70">
        <w:rPr>
          <w:sz w:val="20"/>
          <w:szCs w:val="20"/>
        </w:rPr>
        <w:t>s</w:t>
      </w:r>
      <w:r w:rsidRPr="00581F1F">
        <w:rPr>
          <w:sz w:val="20"/>
          <w:szCs w:val="20"/>
        </w:rPr>
        <w:t xml:space="preserve"> de la siguiente manera:</w:t>
      </w:r>
    </w:p>
    <w:tbl>
      <w:tblPr>
        <w:tblW w:w="0" w:type="auto"/>
        <w:tblCellMar>
          <w:left w:w="70" w:type="dxa"/>
          <w:right w:w="70" w:type="dxa"/>
        </w:tblCellMar>
        <w:tblLook w:val="04A0" w:firstRow="1" w:lastRow="0" w:firstColumn="1" w:lastColumn="0" w:noHBand="0" w:noVBand="1"/>
      </w:tblPr>
      <w:tblGrid>
        <w:gridCol w:w="1494"/>
        <w:gridCol w:w="1114"/>
        <w:gridCol w:w="765"/>
        <w:gridCol w:w="160"/>
        <w:gridCol w:w="146"/>
        <w:gridCol w:w="146"/>
        <w:gridCol w:w="146"/>
        <w:gridCol w:w="146"/>
        <w:gridCol w:w="146"/>
        <w:gridCol w:w="146"/>
        <w:gridCol w:w="146"/>
        <w:gridCol w:w="146"/>
        <w:gridCol w:w="146"/>
        <w:gridCol w:w="146"/>
        <w:gridCol w:w="1252"/>
        <w:gridCol w:w="146"/>
        <w:gridCol w:w="1363"/>
      </w:tblGrid>
      <w:tr w:rsidR="00551F4E" w:rsidRPr="00581F1F" w:rsidTr="00042844">
        <w:trPr>
          <w:trHeight w:val="300"/>
        </w:trPr>
        <w:tc>
          <w:tcPr>
            <w:tcW w:w="0" w:type="auto"/>
            <w:tcBorders>
              <w:top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765"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551F4E" w:rsidRPr="00581F1F" w:rsidRDefault="00551F4E"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BC66BB">
              <w:rPr>
                <w:rFonts w:ascii="Arial" w:hAnsi="Arial" w:cs="Arial"/>
                <w:b/>
                <w:bCs/>
                <w:color w:val="000000"/>
                <w:sz w:val="20"/>
                <w:szCs w:val="20"/>
                <w:u w:val="single"/>
                <w:lang w:val="es-MX" w:eastAsia="es-MX"/>
              </w:rPr>
              <w:t>20</w:t>
            </w: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BC66BB">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BC66BB">
              <w:rPr>
                <w:rFonts w:ascii="Arial" w:hAnsi="Arial" w:cs="Arial"/>
                <w:b/>
                <w:bCs/>
                <w:color w:val="000000"/>
                <w:sz w:val="20"/>
                <w:szCs w:val="20"/>
                <w:u w:val="single"/>
                <w:lang w:val="es-MX" w:eastAsia="es-MX"/>
              </w:rPr>
              <w:t>9</w:t>
            </w:r>
          </w:p>
        </w:tc>
      </w:tr>
      <w:tr w:rsidR="00551F4E" w:rsidRPr="00581F1F" w:rsidTr="00042844">
        <w:trPr>
          <w:trHeight w:val="285"/>
        </w:trPr>
        <w:tc>
          <w:tcPr>
            <w:tcW w:w="0" w:type="auto"/>
            <w:tcBorders>
              <w:top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r w:rsidRPr="00581F1F">
              <w:rPr>
                <w:rFonts w:ascii="Arial" w:hAnsi="Arial" w:cs="Arial"/>
                <w:color w:val="000000"/>
                <w:sz w:val="16"/>
                <w:szCs w:val="16"/>
                <w:lang w:val="es-MX" w:eastAsia="es-MX"/>
              </w:rPr>
              <w:t> </w:t>
            </w: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765"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16"/>
                <w:szCs w:val="16"/>
                <w:lang w:val="es-MX" w:eastAsia="es-MX"/>
              </w:rPr>
            </w:pPr>
          </w:p>
        </w:tc>
      </w:tr>
      <w:tr w:rsidR="00551F4E" w:rsidRPr="00581F1F" w:rsidTr="00042844">
        <w:trPr>
          <w:trHeight w:val="285"/>
        </w:trPr>
        <w:tc>
          <w:tcPr>
            <w:tcW w:w="0" w:type="auto"/>
            <w:gridSpan w:val="2"/>
            <w:tcBorders>
              <w:top w:val="nil"/>
              <w:bottom w:val="nil"/>
              <w:right w:val="nil"/>
            </w:tcBorders>
            <w:shd w:val="clear" w:color="auto" w:fill="auto"/>
            <w:noWrap/>
            <w:vAlign w:val="bottom"/>
            <w:hideMark/>
          </w:tcPr>
          <w:p w:rsidR="00551F4E" w:rsidRPr="00581F1F" w:rsidRDefault="00551F4E" w:rsidP="008A1E7A">
            <w:pPr>
              <w:rPr>
                <w:rFonts w:ascii="Arial" w:hAnsi="Arial" w:cs="Arial"/>
                <w:color w:val="000000"/>
                <w:sz w:val="20"/>
                <w:szCs w:val="20"/>
                <w:lang w:val="es-MX" w:eastAsia="es-MX"/>
              </w:rPr>
            </w:pPr>
            <w:r>
              <w:rPr>
                <w:rFonts w:ascii="Arial" w:hAnsi="Arial" w:cs="Arial"/>
                <w:color w:val="000000"/>
                <w:sz w:val="20"/>
                <w:szCs w:val="20"/>
                <w:lang w:val="es-MX" w:eastAsia="es-MX"/>
              </w:rPr>
              <w:t>ISR Arrendamientos</w:t>
            </w:r>
          </w:p>
        </w:tc>
        <w:tc>
          <w:tcPr>
            <w:tcW w:w="765" w:type="dxa"/>
            <w:tcBorders>
              <w:top w:val="nil"/>
              <w:left w:val="nil"/>
              <w:bottom w:val="nil"/>
              <w:right w:val="nil"/>
            </w:tcBorders>
            <w:shd w:val="clear" w:color="auto" w:fill="auto"/>
            <w:noWrap/>
            <w:vAlign w:val="bottom"/>
            <w:hideMark/>
          </w:tcPr>
          <w:p w:rsidR="00551F4E" w:rsidRPr="00581F1F" w:rsidRDefault="00551F4E" w:rsidP="008A1E7A">
            <w:pPr>
              <w:rPr>
                <w:rFonts w:ascii="Arial" w:hAnsi="Arial" w:cs="Arial"/>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8A1E7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8A1E7A">
            <w:pPr>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Pr="00581F1F" w:rsidRDefault="00551F4E" w:rsidP="00551F4E">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38791D">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F7766E">
              <w:rPr>
                <w:rFonts w:ascii="Arial" w:hAnsi="Arial" w:cs="Arial"/>
                <w:color w:val="000000"/>
                <w:sz w:val="20"/>
                <w:szCs w:val="20"/>
                <w:lang w:val="es-MX" w:eastAsia="es-MX"/>
              </w:rPr>
              <w:t>1</w:t>
            </w:r>
            <w:r>
              <w:rPr>
                <w:rFonts w:ascii="Arial" w:hAnsi="Arial" w:cs="Arial"/>
                <w:color w:val="000000"/>
                <w:sz w:val="20"/>
                <w:szCs w:val="20"/>
                <w:lang w:val="es-MX" w:eastAsia="es-MX"/>
              </w:rPr>
              <w:t>,</w:t>
            </w:r>
            <w:r w:rsidR="0038791D">
              <w:rPr>
                <w:rFonts w:ascii="Arial" w:hAnsi="Arial" w:cs="Arial"/>
                <w:color w:val="000000"/>
                <w:sz w:val="20"/>
                <w:szCs w:val="20"/>
                <w:lang w:val="es-MX" w:eastAsia="es-MX"/>
              </w:rPr>
              <w:t>100</w:t>
            </w:r>
          </w:p>
        </w:tc>
        <w:tc>
          <w:tcPr>
            <w:tcW w:w="0" w:type="auto"/>
            <w:tcBorders>
              <w:top w:val="nil"/>
              <w:left w:val="nil"/>
              <w:bottom w:val="nil"/>
              <w:right w:val="nil"/>
            </w:tcBorders>
            <w:shd w:val="clear" w:color="auto" w:fill="auto"/>
            <w:noWrap/>
            <w:vAlign w:val="bottom"/>
            <w:hideMark/>
          </w:tcPr>
          <w:p w:rsidR="00551F4E" w:rsidRPr="00581F1F" w:rsidRDefault="00551F4E" w:rsidP="008A1E7A">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Pr>
                <w:rFonts w:ascii="Arial" w:hAnsi="Arial" w:cs="Arial"/>
                <w:color w:val="000000"/>
                <w:sz w:val="20"/>
                <w:szCs w:val="20"/>
                <w:lang w:val="es-MX" w:eastAsia="es-MX"/>
              </w:rPr>
              <w:t>1</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254</w:t>
            </w:r>
            <w:r w:rsidRPr="00581F1F">
              <w:rPr>
                <w:rFonts w:ascii="Arial" w:hAnsi="Arial" w:cs="Arial"/>
                <w:color w:val="000000"/>
                <w:sz w:val="20"/>
                <w:szCs w:val="20"/>
                <w:lang w:val="es-MX" w:eastAsia="es-MX"/>
              </w:rPr>
              <w:t xml:space="preserve"> </w:t>
            </w:r>
          </w:p>
        </w:tc>
      </w:tr>
      <w:tr w:rsidR="00551F4E" w:rsidRPr="00581F1F" w:rsidTr="00042844">
        <w:trPr>
          <w:trHeight w:val="285"/>
        </w:trPr>
        <w:tc>
          <w:tcPr>
            <w:tcW w:w="0" w:type="auto"/>
            <w:gridSpan w:val="2"/>
            <w:tcBorders>
              <w:top w:val="nil"/>
              <w:bottom w:val="nil"/>
              <w:right w:val="nil"/>
            </w:tcBorders>
            <w:shd w:val="clear" w:color="auto" w:fill="auto"/>
            <w:noWrap/>
            <w:vAlign w:val="bottom"/>
            <w:hideMark/>
          </w:tcPr>
          <w:p w:rsidR="00551F4E" w:rsidRPr="00581F1F" w:rsidRDefault="00551F4E" w:rsidP="00551F4E">
            <w:pPr>
              <w:rPr>
                <w:rFonts w:ascii="Arial" w:hAnsi="Arial" w:cs="Arial"/>
                <w:color w:val="000000"/>
                <w:sz w:val="20"/>
                <w:szCs w:val="20"/>
                <w:lang w:val="es-MX" w:eastAsia="es-MX"/>
              </w:rPr>
            </w:pPr>
            <w:r w:rsidRPr="00581F1F">
              <w:rPr>
                <w:rFonts w:ascii="Arial" w:hAnsi="Arial" w:cs="Arial"/>
                <w:color w:val="000000"/>
                <w:sz w:val="20"/>
                <w:szCs w:val="20"/>
                <w:lang w:val="es-MX" w:eastAsia="es-MX"/>
              </w:rPr>
              <w:t>ISR S</w:t>
            </w:r>
            <w:r>
              <w:rPr>
                <w:rFonts w:ascii="Arial" w:hAnsi="Arial" w:cs="Arial"/>
                <w:color w:val="000000"/>
                <w:sz w:val="20"/>
                <w:szCs w:val="20"/>
                <w:lang w:val="es-MX" w:eastAsia="es-MX"/>
              </w:rPr>
              <w:t>ervicios Profesionales</w:t>
            </w:r>
          </w:p>
        </w:tc>
        <w:tc>
          <w:tcPr>
            <w:tcW w:w="765" w:type="dxa"/>
            <w:tcBorders>
              <w:top w:val="nil"/>
              <w:left w:val="nil"/>
              <w:bottom w:val="nil"/>
              <w:right w:val="nil"/>
            </w:tcBorders>
            <w:shd w:val="clear" w:color="auto" w:fill="auto"/>
            <w:noWrap/>
            <w:vAlign w:val="bottom"/>
            <w:hideMark/>
          </w:tcPr>
          <w:p w:rsidR="00551F4E" w:rsidRPr="00581F1F" w:rsidRDefault="00551F4E" w:rsidP="00DD62BD">
            <w:pPr>
              <w:rPr>
                <w:rFonts w:ascii="Arial" w:hAnsi="Arial" w:cs="Arial"/>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DD62BD">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DD62BD">
            <w:pPr>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551F4E" w:rsidRDefault="00551F4E" w:rsidP="00B834C8">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BA4049" w:rsidP="00BA4049">
            <w:pPr>
              <w:jc w:val="right"/>
              <w:rPr>
                <w:rFonts w:ascii="Arial" w:hAnsi="Arial" w:cs="Arial"/>
                <w:color w:val="000000"/>
                <w:sz w:val="20"/>
                <w:szCs w:val="20"/>
                <w:lang w:val="es-MX" w:eastAsia="es-MX"/>
              </w:rPr>
            </w:pPr>
            <w:r>
              <w:rPr>
                <w:rFonts w:ascii="Arial" w:hAnsi="Arial" w:cs="Arial"/>
                <w:color w:val="000000"/>
                <w:sz w:val="20"/>
                <w:szCs w:val="20"/>
                <w:lang w:val="es-MX" w:eastAsia="es-MX"/>
              </w:rPr>
              <w:t>24</w:t>
            </w:r>
            <w:r w:rsidR="00551F4E">
              <w:rPr>
                <w:rFonts w:ascii="Arial" w:hAnsi="Arial" w:cs="Arial"/>
                <w:color w:val="000000"/>
                <w:sz w:val="20"/>
                <w:szCs w:val="20"/>
                <w:lang w:val="es-MX" w:eastAsia="es-MX"/>
              </w:rPr>
              <w:t>,</w:t>
            </w:r>
            <w:r w:rsidR="0038791D">
              <w:rPr>
                <w:rFonts w:ascii="Arial" w:hAnsi="Arial" w:cs="Arial"/>
                <w:color w:val="000000"/>
                <w:sz w:val="20"/>
                <w:szCs w:val="20"/>
                <w:lang w:val="es-MX" w:eastAsia="es-MX"/>
              </w:rPr>
              <w:t>87</w:t>
            </w:r>
            <w:r>
              <w:rPr>
                <w:rFonts w:ascii="Arial" w:hAnsi="Arial" w:cs="Arial"/>
                <w:color w:val="000000"/>
                <w:sz w:val="20"/>
                <w:szCs w:val="20"/>
                <w:lang w:val="es-MX" w:eastAsia="es-MX"/>
              </w:rPr>
              <w:t>3</w:t>
            </w:r>
          </w:p>
        </w:tc>
        <w:tc>
          <w:tcPr>
            <w:tcW w:w="0" w:type="auto"/>
            <w:tcBorders>
              <w:top w:val="nil"/>
              <w:left w:val="nil"/>
              <w:bottom w:val="nil"/>
              <w:right w:val="nil"/>
            </w:tcBorders>
            <w:shd w:val="clear" w:color="auto" w:fill="auto"/>
            <w:noWrap/>
            <w:vAlign w:val="bottom"/>
            <w:hideMark/>
          </w:tcPr>
          <w:p w:rsidR="00551F4E" w:rsidRPr="00581F1F" w:rsidRDefault="00551F4E" w:rsidP="00DD62BD">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BC66BB">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BC66BB">
              <w:rPr>
                <w:rFonts w:ascii="Arial" w:hAnsi="Arial" w:cs="Arial"/>
                <w:color w:val="000000"/>
                <w:sz w:val="20"/>
                <w:szCs w:val="20"/>
                <w:lang w:val="es-MX" w:eastAsia="es-MX"/>
              </w:rPr>
              <w:t>18</w:t>
            </w:r>
            <w:r w:rsidRPr="00581F1F">
              <w:rPr>
                <w:rFonts w:ascii="Arial" w:hAnsi="Arial" w:cs="Arial"/>
                <w:color w:val="000000"/>
                <w:sz w:val="20"/>
                <w:szCs w:val="20"/>
                <w:lang w:val="es-MX" w:eastAsia="es-MX"/>
              </w:rPr>
              <w:t>,</w:t>
            </w:r>
            <w:r w:rsidR="00BC66BB">
              <w:rPr>
                <w:rFonts w:ascii="Arial" w:hAnsi="Arial" w:cs="Arial"/>
                <w:color w:val="000000"/>
                <w:sz w:val="20"/>
                <w:szCs w:val="20"/>
                <w:lang w:val="es-MX" w:eastAsia="es-MX"/>
              </w:rPr>
              <w:t>680</w:t>
            </w:r>
            <w:r w:rsidRPr="00581F1F">
              <w:rPr>
                <w:rFonts w:ascii="Arial" w:hAnsi="Arial" w:cs="Arial"/>
                <w:color w:val="000000"/>
                <w:sz w:val="20"/>
                <w:szCs w:val="20"/>
                <w:lang w:val="es-MX" w:eastAsia="es-MX"/>
              </w:rPr>
              <w:t xml:space="preserve"> </w:t>
            </w:r>
          </w:p>
        </w:tc>
      </w:tr>
      <w:tr w:rsidR="00551F4E" w:rsidRPr="00581F1F" w:rsidTr="00042844">
        <w:trPr>
          <w:trHeight w:val="315"/>
        </w:trPr>
        <w:tc>
          <w:tcPr>
            <w:tcW w:w="0" w:type="auto"/>
            <w:tcBorders>
              <w:top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765"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160" w:type="dxa"/>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551F4E" w:rsidRPr="00581F1F" w:rsidRDefault="00551F4E" w:rsidP="00713060">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551F4E" w:rsidRPr="00581F1F" w:rsidRDefault="00551F4E" w:rsidP="00551F4E">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51F4E" w:rsidRPr="00581F1F" w:rsidRDefault="00551F4E" w:rsidP="00BA4049">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      </w:t>
            </w:r>
            <w:r w:rsidR="00BA4049">
              <w:rPr>
                <w:rFonts w:ascii="Arial" w:hAnsi="Arial" w:cs="Arial"/>
                <w:b/>
                <w:bCs/>
                <w:color w:val="000000"/>
                <w:sz w:val="20"/>
                <w:szCs w:val="20"/>
                <w:lang w:val="es-MX" w:eastAsia="es-MX"/>
              </w:rPr>
              <w:t>25</w:t>
            </w:r>
            <w:r w:rsidRPr="00581F1F">
              <w:rPr>
                <w:rFonts w:ascii="Arial" w:hAnsi="Arial" w:cs="Arial"/>
                <w:b/>
                <w:bCs/>
                <w:color w:val="000000"/>
                <w:sz w:val="20"/>
                <w:szCs w:val="20"/>
                <w:lang w:val="es-MX" w:eastAsia="es-MX"/>
              </w:rPr>
              <w:t>,</w:t>
            </w:r>
            <w:r w:rsidR="00F7766E">
              <w:rPr>
                <w:rFonts w:ascii="Arial" w:hAnsi="Arial" w:cs="Arial"/>
                <w:b/>
                <w:bCs/>
                <w:color w:val="000000"/>
                <w:sz w:val="20"/>
                <w:szCs w:val="20"/>
                <w:lang w:val="es-MX" w:eastAsia="es-MX"/>
              </w:rPr>
              <w:t>9</w:t>
            </w:r>
            <w:r w:rsidR="0038791D">
              <w:rPr>
                <w:rFonts w:ascii="Arial" w:hAnsi="Arial" w:cs="Arial"/>
                <w:b/>
                <w:bCs/>
                <w:color w:val="000000"/>
                <w:sz w:val="20"/>
                <w:szCs w:val="20"/>
                <w:lang w:val="es-MX" w:eastAsia="es-MX"/>
              </w:rPr>
              <w:t>7</w:t>
            </w:r>
            <w:r w:rsidR="00BA4049">
              <w:rPr>
                <w:rFonts w:ascii="Arial" w:hAnsi="Arial" w:cs="Arial"/>
                <w:b/>
                <w:bCs/>
                <w:color w:val="000000"/>
                <w:sz w:val="20"/>
                <w:szCs w:val="20"/>
                <w:lang w:val="es-MX" w:eastAsia="es-MX"/>
              </w:rPr>
              <w:t>3</w:t>
            </w:r>
            <w:r w:rsidRPr="00581F1F">
              <w:rPr>
                <w:rFonts w:ascii="Arial" w:hAnsi="Arial" w:cs="Arial"/>
                <w:b/>
                <w:bCs/>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551F4E" w:rsidRPr="00581F1F" w:rsidRDefault="00551F4E" w:rsidP="00037999">
            <w:pPr>
              <w:jc w:val="right"/>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551F4E" w:rsidRPr="00581F1F" w:rsidRDefault="00551F4E" w:rsidP="00BC66BB">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      </w:t>
            </w:r>
            <w:r w:rsidR="00BC66BB">
              <w:rPr>
                <w:rFonts w:ascii="Arial" w:hAnsi="Arial" w:cs="Arial"/>
                <w:b/>
                <w:bCs/>
                <w:color w:val="000000"/>
                <w:sz w:val="20"/>
                <w:szCs w:val="20"/>
                <w:lang w:val="es-MX" w:eastAsia="es-MX"/>
              </w:rPr>
              <w:t>19</w:t>
            </w:r>
            <w:r w:rsidRPr="00581F1F">
              <w:rPr>
                <w:rFonts w:ascii="Arial" w:hAnsi="Arial" w:cs="Arial"/>
                <w:b/>
                <w:bCs/>
                <w:color w:val="000000"/>
                <w:sz w:val="20"/>
                <w:szCs w:val="20"/>
                <w:lang w:val="es-MX" w:eastAsia="es-MX"/>
              </w:rPr>
              <w:t>,</w:t>
            </w:r>
            <w:r w:rsidR="00BC66BB">
              <w:rPr>
                <w:rFonts w:ascii="Arial" w:hAnsi="Arial" w:cs="Arial"/>
                <w:b/>
                <w:bCs/>
                <w:color w:val="000000"/>
                <w:sz w:val="20"/>
                <w:szCs w:val="20"/>
                <w:lang w:val="es-MX" w:eastAsia="es-MX"/>
              </w:rPr>
              <w:t>934</w:t>
            </w:r>
            <w:r w:rsidRPr="00581F1F">
              <w:rPr>
                <w:rFonts w:ascii="Arial" w:hAnsi="Arial" w:cs="Arial"/>
                <w:b/>
                <w:bCs/>
                <w:color w:val="000000"/>
                <w:sz w:val="20"/>
                <w:szCs w:val="20"/>
                <w:lang w:val="es-MX" w:eastAsia="es-MX"/>
              </w:rPr>
              <w:t xml:space="preserve"> </w:t>
            </w:r>
          </w:p>
        </w:tc>
      </w:tr>
    </w:tbl>
    <w:p w:rsidR="00713060" w:rsidRPr="00581F1F" w:rsidRDefault="00713060" w:rsidP="00ED6A55">
      <w:pPr>
        <w:pStyle w:val="Default"/>
        <w:jc w:val="both"/>
        <w:rPr>
          <w:sz w:val="20"/>
          <w:szCs w:val="20"/>
        </w:rPr>
      </w:pPr>
    </w:p>
    <w:p w:rsidR="00551F4E" w:rsidRDefault="00551F4E" w:rsidP="00ED6A55">
      <w:pPr>
        <w:pStyle w:val="Default"/>
        <w:jc w:val="both"/>
        <w:rPr>
          <w:sz w:val="20"/>
          <w:szCs w:val="20"/>
        </w:rPr>
      </w:pPr>
    </w:p>
    <w:tbl>
      <w:tblPr>
        <w:tblpPr w:leftFromText="141" w:rightFromText="141" w:vertAnchor="text" w:horzAnchor="page" w:tblpX="5751" w:tblpY="57"/>
        <w:tblW w:w="0" w:type="auto"/>
        <w:tblCellMar>
          <w:left w:w="70" w:type="dxa"/>
          <w:right w:w="70" w:type="dxa"/>
        </w:tblCellMar>
        <w:tblLook w:val="04A0" w:firstRow="1" w:lastRow="0" w:firstColumn="1" w:lastColumn="0" w:noHBand="0" w:noVBand="1"/>
      </w:tblPr>
      <w:tblGrid>
        <w:gridCol w:w="1330"/>
        <w:gridCol w:w="160"/>
        <w:gridCol w:w="697"/>
      </w:tblGrid>
      <w:tr w:rsidR="0023402A" w:rsidRPr="00581F1F" w:rsidTr="0023402A">
        <w:trPr>
          <w:trHeight w:val="300"/>
        </w:trPr>
        <w:tc>
          <w:tcPr>
            <w:tcW w:w="1330" w:type="dxa"/>
            <w:tcBorders>
              <w:top w:val="nil"/>
              <w:left w:val="nil"/>
              <w:bottom w:val="nil"/>
              <w:right w:val="nil"/>
            </w:tcBorders>
            <w:shd w:val="clear" w:color="auto" w:fill="auto"/>
            <w:noWrap/>
            <w:vAlign w:val="bottom"/>
            <w:hideMark/>
          </w:tcPr>
          <w:p w:rsidR="0023402A" w:rsidRPr="00581F1F" w:rsidRDefault="0023402A" w:rsidP="0023402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Pr>
                <w:rFonts w:ascii="Arial" w:hAnsi="Arial" w:cs="Arial"/>
                <w:b/>
                <w:bCs/>
                <w:color w:val="000000"/>
                <w:sz w:val="20"/>
                <w:szCs w:val="20"/>
                <w:u w:val="single"/>
                <w:lang w:val="es-MX" w:eastAsia="es-MX"/>
              </w:rPr>
              <w:t>20</w:t>
            </w:r>
          </w:p>
        </w:tc>
        <w:tc>
          <w:tcPr>
            <w:tcW w:w="160" w:type="dxa"/>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23402A" w:rsidRPr="00581F1F" w:rsidRDefault="0023402A" w:rsidP="0023402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Pr>
                <w:rFonts w:ascii="Arial" w:hAnsi="Arial" w:cs="Arial"/>
                <w:b/>
                <w:bCs/>
                <w:color w:val="000000"/>
                <w:sz w:val="20"/>
                <w:szCs w:val="20"/>
                <w:u w:val="single"/>
                <w:lang w:val="es-MX" w:eastAsia="es-MX"/>
              </w:rPr>
              <w:t>9</w:t>
            </w:r>
          </w:p>
        </w:tc>
      </w:tr>
      <w:tr w:rsidR="0023402A" w:rsidRPr="00581F1F" w:rsidTr="0023402A">
        <w:trPr>
          <w:trHeight w:val="285"/>
        </w:trPr>
        <w:tc>
          <w:tcPr>
            <w:tcW w:w="1330" w:type="dxa"/>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16"/>
                <w:szCs w:val="16"/>
                <w:lang w:val="es-MX" w:eastAsia="es-MX"/>
              </w:rPr>
            </w:pPr>
          </w:p>
        </w:tc>
        <w:tc>
          <w:tcPr>
            <w:tcW w:w="160" w:type="dxa"/>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16"/>
                <w:szCs w:val="16"/>
                <w:lang w:val="es-MX" w:eastAsia="es-MX"/>
              </w:rPr>
            </w:pPr>
          </w:p>
        </w:tc>
        <w:tc>
          <w:tcPr>
            <w:tcW w:w="0" w:type="auto"/>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16"/>
                <w:szCs w:val="16"/>
                <w:lang w:val="es-MX" w:eastAsia="es-MX"/>
              </w:rPr>
            </w:pPr>
          </w:p>
        </w:tc>
      </w:tr>
      <w:tr w:rsidR="0023402A" w:rsidRPr="00581F1F" w:rsidTr="0023402A">
        <w:trPr>
          <w:trHeight w:val="285"/>
        </w:trPr>
        <w:tc>
          <w:tcPr>
            <w:tcW w:w="1330" w:type="dxa"/>
            <w:tcBorders>
              <w:top w:val="nil"/>
              <w:left w:val="nil"/>
              <w:bottom w:val="nil"/>
              <w:right w:val="nil"/>
            </w:tcBorders>
            <w:shd w:val="clear" w:color="auto" w:fill="auto"/>
            <w:noWrap/>
            <w:vAlign w:val="bottom"/>
            <w:hideMark/>
          </w:tcPr>
          <w:p w:rsidR="0023402A" w:rsidRPr="00581F1F" w:rsidRDefault="0023402A" w:rsidP="0023402A">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Pr>
                <w:rFonts w:ascii="Arial" w:hAnsi="Arial" w:cs="Arial"/>
                <w:color w:val="000000"/>
                <w:sz w:val="20"/>
                <w:szCs w:val="20"/>
                <w:lang w:val="es-MX" w:eastAsia="es-MX"/>
              </w:rPr>
              <w:t>1</w:t>
            </w:r>
            <w:r w:rsidRPr="00581F1F">
              <w:rPr>
                <w:rFonts w:ascii="Arial" w:hAnsi="Arial" w:cs="Arial"/>
                <w:color w:val="000000"/>
                <w:sz w:val="20"/>
                <w:szCs w:val="20"/>
                <w:lang w:val="es-MX" w:eastAsia="es-MX"/>
              </w:rPr>
              <w:t>,</w:t>
            </w:r>
            <w:r>
              <w:rPr>
                <w:rFonts w:ascii="Arial" w:hAnsi="Arial" w:cs="Arial"/>
                <w:color w:val="000000"/>
                <w:sz w:val="20"/>
                <w:szCs w:val="20"/>
                <w:lang w:val="es-MX" w:eastAsia="es-MX"/>
              </w:rPr>
              <w:t>580</w:t>
            </w:r>
            <w:r w:rsidRPr="00581F1F">
              <w:rPr>
                <w:rFonts w:ascii="Arial" w:hAnsi="Arial" w:cs="Arial"/>
                <w:color w:val="000000"/>
                <w:sz w:val="20"/>
                <w:szCs w:val="20"/>
                <w:lang w:val="es-MX" w:eastAsia="es-MX"/>
              </w:rPr>
              <w:t>,</w:t>
            </w:r>
            <w:r>
              <w:rPr>
                <w:rFonts w:ascii="Arial" w:hAnsi="Arial" w:cs="Arial"/>
                <w:color w:val="000000"/>
                <w:sz w:val="20"/>
                <w:szCs w:val="20"/>
                <w:lang w:val="es-MX" w:eastAsia="es-MX"/>
              </w:rPr>
              <w:t>247</w:t>
            </w:r>
          </w:p>
        </w:tc>
        <w:tc>
          <w:tcPr>
            <w:tcW w:w="160" w:type="dxa"/>
            <w:tcBorders>
              <w:top w:val="nil"/>
              <w:left w:val="nil"/>
              <w:bottom w:val="nil"/>
              <w:right w:val="nil"/>
            </w:tcBorders>
            <w:shd w:val="clear" w:color="auto" w:fill="auto"/>
            <w:noWrap/>
            <w:vAlign w:val="bottom"/>
            <w:hideMark/>
          </w:tcPr>
          <w:p w:rsidR="0023402A" w:rsidRPr="00581F1F" w:rsidRDefault="0023402A" w:rsidP="0023402A">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23402A" w:rsidRPr="00581F1F" w:rsidRDefault="0023402A" w:rsidP="0023402A">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Pr>
                <w:rFonts w:ascii="Arial" w:hAnsi="Arial" w:cs="Arial"/>
                <w:color w:val="000000"/>
                <w:sz w:val="20"/>
                <w:szCs w:val="20"/>
                <w:lang w:val="es-MX" w:eastAsia="es-MX"/>
              </w:rPr>
              <w:t>0.00</w:t>
            </w:r>
          </w:p>
        </w:tc>
      </w:tr>
    </w:tbl>
    <w:p w:rsidR="0023402A" w:rsidRDefault="0023402A" w:rsidP="00ED6A55">
      <w:pPr>
        <w:pStyle w:val="Default"/>
        <w:jc w:val="both"/>
        <w:rPr>
          <w:sz w:val="20"/>
          <w:szCs w:val="20"/>
        </w:rPr>
      </w:pPr>
    </w:p>
    <w:p w:rsidR="0023402A" w:rsidRDefault="00F20491" w:rsidP="00ED6A55">
      <w:pPr>
        <w:pStyle w:val="Default"/>
        <w:jc w:val="both"/>
        <w:rPr>
          <w:sz w:val="20"/>
          <w:szCs w:val="20"/>
        </w:rPr>
      </w:pPr>
      <w:r>
        <w:rPr>
          <w:sz w:val="20"/>
          <w:szCs w:val="20"/>
        </w:rPr>
        <w:t xml:space="preserve">Intereses cobrados por adelantado.  </w:t>
      </w:r>
      <w:r>
        <w:rPr>
          <w:sz w:val="20"/>
          <w:szCs w:val="20"/>
        </w:rPr>
        <w:tab/>
      </w:r>
    </w:p>
    <w:p w:rsidR="0023402A" w:rsidRDefault="0023402A" w:rsidP="0023402A">
      <w:pPr>
        <w:pStyle w:val="Default"/>
        <w:jc w:val="both"/>
        <w:rPr>
          <w:sz w:val="20"/>
          <w:szCs w:val="20"/>
        </w:rPr>
      </w:pPr>
      <w:r>
        <w:rPr>
          <w:sz w:val="20"/>
          <w:szCs w:val="20"/>
        </w:rPr>
        <w:t>Intereses redocumentados</w:t>
      </w:r>
      <w:bookmarkStart w:id="0" w:name="_GoBack"/>
      <w:bookmarkEnd w:id="0"/>
      <w:r>
        <w:rPr>
          <w:sz w:val="20"/>
          <w:szCs w:val="20"/>
        </w:rPr>
        <w:t xml:space="preserve"> por cobrar</w:t>
      </w:r>
    </w:p>
    <w:p w:rsidR="0023402A" w:rsidRDefault="0023402A" w:rsidP="00ED6A55">
      <w:pPr>
        <w:pStyle w:val="Default"/>
        <w:jc w:val="both"/>
        <w:rPr>
          <w:sz w:val="20"/>
          <w:szCs w:val="20"/>
        </w:rPr>
      </w:pPr>
    </w:p>
    <w:p w:rsidR="0023402A" w:rsidRDefault="0023402A" w:rsidP="00ED6A55">
      <w:pPr>
        <w:pStyle w:val="Default"/>
        <w:jc w:val="both"/>
        <w:rPr>
          <w:sz w:val="20"/>
          <w:szCs w:val="20"/>
        </w:rPr>
      </w:pPr>
    </w:p>
    <w:p w:rsidR="00F20491" w:rsidRDefault="00F20491" w:rsidP="00ED6A55">
      <w:pPr>
        <w:pStyle w:val="Default"/>
        <w:jc w:val="both"/>
        <w:rPr>
          <w:sz w:val="20"/>
          <w:szCs w:val="20"/>
        </w:rPr>
      </w:pPr>
    </w:p>
    <w:p w:rsidR="00713060" w:rsidRPr="00581F1F" w:rsidRDefault="00713060" w:rsidP="00187428">
      <w:pPr>
        <w:pStyle w:val="Default"/>
        <w:numPr>
          <w:ilvl w:val="0"/>
          <w:numId w:val="22"/>
        </w:numPr>
        <w:jc w:val="both"/>
        <w:rPr>
          <w:b/>
          <w:sz w:val="20"/>
          <w:szCs w:val="20"/>
        </w:rPr>
      </w:pPr>
      <w:r w:rsidRPr="00581F1F">
        <w:rPr>
          <w:b/>
          <w:sz w:val="20"/>
          <w:szCs w:val="20"/>
        </w:rPr>
        <w:t>Notas al Estado de Actividades</w:t>
      </w:r>
    </w:p>
    <w:p w:rsidR="00713060" w:rsidRPr="00631B78" w:rsidRDefault="00713060" w:rsidP="00ED6A55">
      <w:pPr>
        <w:pStyle w:val="Default"/>
        <w:jc w:val="both"/>
        <w:rPr>
          <w:sz w:val="16"/>
          <w:szCs w:val="16"/>
        </w:rPr>
      </w:pPr>
    </w:p>
    <w:p w:rsidR="00713060" w:rsidRPr="00581F1F" w:rsidRDefault="00713060" w:rsidP="00713060">
      <w:pPr>
        <w:pStyle w:val="Default"/>
        <w:numPr>
          <w:ilvl w:val="0"/>
          <w:numId w:val="26"/>
        </w:numPr>
        <w:jc w:val="both"/>
        <w:rPr>
          <w:b/>
          <w:sz w:val="20"/>
          <w:szCs w:val="20"/>
          <w:u w:val="single"/>
        </w:rPr>
      </w:pPr>
      <w:r w:rsidRPr="00581F1F">
        <w:rPr>
          <w:b/>
          <w:sz w:val="20"/>
          <w:szCs w:val="20"/>
          <w:u w:val="single"/>
        </w:rPr>
        <w:t>Ingresos de Gestión</w:t>
      </w:r>
    </w:p>
    <w:p w:rsidR="00713060" w:rsidRPr="00581F1F" w:rsidRDefault="00713060" w:rsidP="00713060">
      <w:pPr>
        <w:pStyle w:val="Default"/>
        <w:jc w:val="both"/>
        <w:rPr>
          <w:sz w:val="20"/>
          <w:szCs w:val="20"/>
        </w:rPr>
      </w:pPr>
      <w:r w:rsidRPr="00581F1F">
        <w:rPr>
          <w:sz w:val="20"/>
          <w:szCs w:val="20"/>
        </w:rPr>
        <w:t xml:space="preserve">Este rubro se integra de la siguiente manera al </w:t>
      </w:r>
      <w:r w:rsidR="00835E92">
        <w:rPr>
          <w:sz w:val="20"/>
          <w:szCs w:val="20"/>
        </w:rPr>
        <w:t>3</w:t>
      </w:r>
      <w:r w:rsidR="00BA4049">
        <w:rPr>
          <w:sz w:val="20"/>
          <w:szCs w:val="20"/>
        </w:rPr>
        <w:t>0</w:t>
      </w:r>
      <w:r w:rsidRPr="00581F1F">
        <w:rPr>
          <w:sz w:val="20"/>
          <w:szCs w:val="20"/>
        </w:rPr>
        <w:t xml:space="preserve"> de </w:t>
      </w:r>
      <w:r w:rsidR="00BA4049">
        <w:rPr>
          <w:sz w:val="20"/>
          <w:szCs w:val="20"/>
        </w:rPr>
        <w:t>junio</w:t>
      </w:r>
      <w:r w:rsidRPr="00581F1F">
        <w:rPr>
          <w:sz w:val="20"/>
          <w:szCs w:val="20"/>
        </w:rPr>
        <w:t xml:space="preserve"> de 20</w:t>
      </w:r>
      <w:r w:rsidR="00A1489A">
        <w:rPr>
          <w:sz w:val="20"/>
          <w:szCs w:val="20"/>
        </w:rPr>
        <w:t>20</w:t>
      </w:r>
      <w:r w:rsidRPr="00581F1F">
        <w:rPr>
          <w:sz w:val="20"/>
          <w:szCs w:val="20"/>
        </w:rPr>
        <w:t xml:space="preserve"> y </w:t>
      </w:r>
      <w:r w:rsidR="00AC66EF">
        <w:rPr>
          <w:sz w:val="20"/>
          <w:szCs w:val="20"/>
        </w:rPr>
        <w:t>3</w:t>
      </w:r>
      <w:r w:rsidR="003E24C3">
        <w:rPr>
          <w:sz w:val="20"/>
          <w:szCs w:val="20"/>
        </w:rPr>
        <w:t>1</w:t>
      </w:r>
      <w:r w:rsidR="00A85111">
        <w:rPr>
          <w:sz w:val="20"/>
          <w:szCs w:val="20"/>
        </w:rPr>
        <w:t xml:space="preserve"> de </w:t>
      </w:r>
      <w:r w:rsidR="008D0B37">
        <w:rPr>
          <w:sz w:val="20"/>
          <w:szCs w:val="20"/>
        </w:rPr>
        <w:t>diciembre</w:t>
      </w:r>
      <w:r w:rsidR="00A85111">
        <w:rPr>
          <w:sz w:val="20"/>
          <w:szCs w:val="20"/>
        </w:rPr>
        <w:t xml:space="preserve"> de </w:t>
      </w:r>
      <w:r w:rsidRPr="00581F1F">
        <w:rPr>
          <w:sz w:val="20"/>
          <w:szCs w:val="20"/>
        </w:rPr>
        <w:t>201</w:t>
      </w:r>
      <w:r w:rsidR="00A1489A">
        <w:rPr>
          <w:sz w:val="20"/>
          <w:szCs w:val="20"/>
        </w:rPr>
        <w:t>9</w:t>
      </w:r>
      <w:r w:rsidRPr="00581F1F">
        <w:rPr>
          <w:sz w:val="20"/>
          <w:szCs w:val="20"/>
        </w:rPr>
        <w:t>:</w:t>
      </w:r>
    </w:p>
    <w:p w:rsidR="00713060" w:rsidRPr="00581F1F" w:rsidRDefault="00713060" w:rsidP="00713060">
      <w:pPr>
        <w:pStyle w:val="Default"/>
        <w:jc w:val="both"/>
        <w:rPr>
          <w:sz w:val="20"/>
          <w:szCs w:val="20"/>
        </w:rPr>
      </w:pPr>
    </w:p>
    <w:tbl>
      <w:tblPr>
        <w:tblW w:w="0" w:type="auto"/>
        <w:tblCellMar>
          <w:left w:w="70" w:type="dxa"/>
          <w:right w:w="70" w:type="dxa"/>
        </w:tblCellMar>
        <w:tblLook w:val="04A0" w:firstRow="1" w:lastRow="0" w:firstColumn="1" w:lastColumn="0" w:noHBand="0" w:noVBand="1"/>
      </w:tblPr>
      <w:tblGrid>
        <w:gridCol w:w="821"/>
        <w:gridCol w:w="611"/>
        <w:gridCol w:w="611"/>
        <w:gridCol w:w="611"/>
        <w:gridCol w:w="611"/>
        <w:gridCol w:w="611"/>
        <w:gridCol w:w="146"/>
        <w:gridCol w:w="146"/>
        <w:gridCol w:w="146"/>
        <w:gridCol w:w="146"/>
        <w:gridCol w:w="146"/>
        <w:gridCol w:w="146"/>
        <w:gridCol w:w="146"/>
        <w:gridCol w:w="1308"/>
        <w:gridCol w:w="146"/>
        <w:gridCol w:w="146"/>
        <w:gridCol w:w="146"/>
        <w:gridCol w:w="1364"/>
      </w:tblGrid>
      <w:tr w:rsidR="008D0B37" w:rsidRPr="00581F1F" w:rsidTr="00042844">
        <w:trPr>
          <w:trHeight w:val="300"/>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A1489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A1489A">
              <w:rPr>
                <w:rFonts w:ascii="Arial" w:hAnsi="Arial" w:cs="Arial"/>
                <w:b/>
                <w:bCs/>
                <w:color w:val="000000"/>
                <w:sz w:val="20"/>
                <w:szCs w:val="20"/>
                <w:u w:val="single"/>
                <w:lang w:val="es-MX" w:eastAsia="es-MX"/>
              </w:rPr>
              <w:t>20</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551F4E">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A1489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A1489A">
              <w:rPr>
                <w:rFonts w:ascii="Arial" w:hAnsi="Arial" w:cs="Arial"/>
                <w:b/>
                <w:bCs/>
                <w:color w:val="000000"/>
                <w:sz w:val="20"/>
                <w:szCs w:val="20"/>
                <w:u w:val="single"/>
                <w:lang w:val="es-MX" w:eastAsia="es-MX"/>
              </w:rPr>
              <w:t>9</w:t>
            </w:r>
          </w:p>
        </w:tc>
      </w:tr>
      <w:tr w:rsidR="008D0B37" w:rsidRPr="00581F1F" w:rsidTr="00042844">
        <w:trPr>
          <w:trHeight w:val="285"/>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r>
      <w:tr w:rsidR="008D0B37" w:rsidRPr="00581F1F" w:rsidTr="00042844">
        <w:trPr>
          <w:trHeight w:val="285"/>
        </w:trPr>
        <w:tc>
          <w:tcPr>
            <w:tcW w:w="0" w:type="auto"/>
            <w:gridSpan w:val="6"/>
            <w:tcBorders>
              <w:top w:val="nil"/>
              <w:bottom w:val="nil"/>
              <w:right w:val="nil"/>
            </w:tcBorders>
            <w:shd w:val="clear" w:color="auto" w:fill="auto"/>
            <w:noWrap/>
            <w:hideMark/>
          </w:tcPr>
          <w:p w:rsidR="008D0B37" w:rsidRPr="00581F1F" w:rsidRDefault="008D0B37" w:rsidP="00F13F04">
            <w:pP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Ingresos por ventas de bienes y </w:t>
            </w:r>
          </w:p>
          <w:p w:rsidR="008D0B37" w:rsidRPr="00581F1F" w:rsidRDefault="001D7ABE" w:rsidP="00F13F04">
            <w:pPr>
              <w:rPr>
                <w:rFonts w:ascii="Arial" w:hAnsi="Arial" w:cs="Arial"/>
                <w:color w:val="000000"/>
                <w:sz w:val="20"/>
                <w:szCs w:val="20"/>
                <w:lang w:val="es-MX" w:eastAsia="es-MX"/>
              </w:rPr>
            </w:pPr>
            <w:r>
              <w:rPr>
                <w:rFonts w:ascii="Arial" w:hAnsi="Arial" w:cs="Arial"/>
                <w:color w:val="000000"/>
                <w:sz w:val="20"/>
                <w:szCs w:val="20"/>
                <w:lang w:val="es-MX" w:eastAsia="es-MX"/>
              </w:rPr>
              <w:t>S</w:t>
            </w:r>
            <w:r w:rsidR="008D0B37" w:rsidRPr="00581F1F">
              <w:rPr>
                <w:rFonts w:ascii="Arial" w:hAnsi="Arial" w:cs="Arial"/>
                <w:color w:val="000000"/>
                <w:sz w:val="20"/>
                <w:szCs w:val="20"/>
                <w:lang w:val="es-MX" w:eastAsia="es-MX"/>
              </w:rPr>
              <w:t>ervicios de organismos descentralizados</w:t>
            </w:r>
          </w:p>
        </w:tc>
        <w:tc>
          <w:tcPr>
            <w:tcW w:w="0" w:type="auto"/>
            <w:tcBorders>
              <w:top w:val="nil"/>
              <w:bottom w:val="nil"/>
              <w:right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bottom w:val="nil"/>
              <w:right w:val="nil"/>
            </w:tcBorders>
          </w:tcPr>
          <w:p w:rsidR="008D0B37" w:rsidRDefault="008D0B37" w:rsidP="007F649A">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8D0B37" w:rsidRPr="00581F1F" w:rsidRDefault="00BA4049" w:rsidP="00BA4049">
            <w:pPr>
              <w:jc w:val="right"/>
              <w:rPr>
                <w:rFonts w:ascii="Arial" w:hAnsi="Arial" w:cs="Arial"/>
                <w:color w:val="000000"/>
                <w:sz w:val="20"/>
                <w:szCs w:val="20"/>
                <w:lang w:val="es-MX" w:eastAsia="es-MX"/>
              </w:rPr>
            </w:pPr>
            <w:r>
              <w:rPr>
                <w:rFonts w:ascii="Arial" w:hAnsi="Arial" w:cs="Arial"/>
                <w:color w:val="000000"/>
                <w:sz w:val="20"/>
                <w:szCs w:val="20"/>
                <w:lang w:val="es-MX" w:eastAsia="es-MX"/>
              </w:rPr>
              <w:t>3</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6</w:t>
            </w:r>
            <w:r w:rsidR="0038791D">
              <w:rPr>
                <w:rFonts w:ascii="Arial" w:hAnsi="Arial" w:cs="Arial"/>
                <w:color w:val="000000"/>
                <w:sz w:val="20"/>
                <w:szCs w:val="20"/>
                <w:lang w:val="es-MX" w:eastAsia="es-MX"/>
              </w:rPr>
              <w:t>95</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357</w:t>
            </w:r>
          </w:p>
        </w:tc>
        <w:tc>
          <w:tcPr>
            <w:tcW w:w="0" w:type="auto"/>
            <w:tcBorders>
              <w:top w:val="nil"/>
              <w:left w:val="nil"/>
              <w:bottom w:val="nil"/>
              <w:right w:val="nil"/>
            </w:tcBorders>
            <w:shd w:val="clear" w:color="auto" w:fill="auto"/>
            <w:noWrap/>
            <w:vAlign w:val="bottom"/>
            <w:hideMark/>
          </w:tcPr>
          <w:p w:rsidR="008D0B37" w:rsidRPr="00581F1F" w:rsidRDefault="008D0B37" w:rsidP="00F13F04">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F3445" w:rsidRDefault="008D0B37" w:rsidP="00A1489A">
            <w:pPr>
              <w:jc w:val="right"/>
              <w:rPr>
                <w:rFonts w:ascii="Arial" w:hAnsi="Arial" w:cs="Arial"/>
                <w:color w:val="000000"/>
                <w:sz w:val="20"/>
                <w:szCs w:val="20"/>
                <w:lang w:val="es-MX" w:eastAsia="es-MX"/>
              </w:rPr>
            </w:pPr>
            <w:r>
              <w:rPr>
                <w:rFonts w:ascii="Arial" w:hAnsi="Arial" w:cs="Arial"/>
                <w:color w:val="000000"/>
                <w:sz w:val="20"/>
                <w:szCs w:val="20"/>
                <w:lang w:val="es-MX" w:eastAsia="es-MX"/>
              </w:rPr>
              <w:t>10´</w:t>
            </w:r>
            <w:r w:rsidR="00A1489A">
              <w:rPr>
                <w:rFonts w:ascii="Arial" w:hAnsi="Arial" w:cs="Arial"/>
                <w:color w:val="000000"/>
                <w:sz w:val="20"/>
                <w:szCs w:val="20"/>
                <w:lang w:val="es-MX" w:eastAsia="es-MX"/>
              </w:rPr>
              <w:t>334</w:t>
            </w:r>
            <w:r>
              <w:rPr>
                <w:rFonts w:ascii="Arial" w:hAnsi="Arial" w:cs="Arial"/>
                <w:color w:val="000000"/>
                <w:sz w:val="20"/>
                <w:szCs w:val="20"/>
                <w:lang w:val="es-MX" w:eastAsia="es-MX"/>
              </w:rPr>
              <w:t>,</w:t>
            </w:r>
            <w:r w:rsidR="00A1489A">
              <w:rPr>
                <w:rFonts w:ascii="Arial" w:hAnsi="Arial" w:cs="Arial"/>
                <w:color w:val="000000"/>
                <w:sz w:val="20"/>
                <w:szCs w:val="20"/>
                <w:lang w:val="es-MX" w:eastAsia="es-MX"/>
              </w:rPr>
              <w:t>307</w:t>
            </w:r>
          </w:p>
        </w:tc>
      </w:tr>
      <w:tr w:rsidR="008D0B37" w:rsidRPr="00581F1F" w:rsidTr="00042844">
        <w:trPr>
          <w:trHeight w:val="285"/>
        </w:trPr>
        <w:tc>
          <w:tcPr>
            <w:tcW w:w="0" w:type="auto"/>
            <w:gridSpan w:val="5"/>
            <w:tcBorders>
              <w:top w:val="nil"/>
              <w:bottom w:val="nil"/>
              <w:right w:val="nil"/>
            </w:tcBorders>
            <w:shd w:val="clear" w:color="auto" w:fill="auto"/>
            <w:noWrap/>
          </w:tcPr>
          <w:p w:rsidR="008D0B37" w:rsidRPr="00581F1F" w:rsidRDefault="008D0B37" w:rsidP="00713060">
            <w:pPr>
              <w:rPr>
                <w:rFonts w:ascii="Arial" w:hAnsi="Arial" w:cs="Arial"/>
                <w:color w:val="000000"/>
                <w:sz w:val="20"/>
                <w:szCs w:val="20"/>
                <w:lang w:val="es-MX" w:eastAsia="es-MX"/>
              </w:rPr>
            </w:pPr>
            <w:r>
              <w:rPr>
                <w:rFonts w:ascii="Arial" w:hAnsi="Arial" w:cs="Arial"/>
                <w:color w:val="000000"/>
                <w:sz w:val="20"/>
                <w:szCs w:val="20"/>
                <w:lang w:val="es-MX" w:eastAsia="es-MX"/>
              </w:rPr>
              <w:t>Otros ingresos y beneficios varios</w:t>
            </w:r>
          </w:p>
        </w:tc>
        <w:tc>
          <w:tcPr>
            <w:tcW w:w="0" w:type="auto"/>
            <w:tcBorders>
              <w:top w:val="nil"/>
              <w:left w:val="nil"/>
              <w:bottom w:val="nil"/>
              <w:right w:val="nil"/>
            </w:tcBorders>
            <w:shd w:val="clear" w:color="auto" w:fill="auto"/>
            <w:noWrap/>
            <w:vAlign w:val="bottom"/>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8D0B37" w:rsidRDefault="008D0B37" w:rsidP="008D0B37">
            <w:pPr>
              <w:jc w:val="right"/>
              <w:rPr>
                <w:rFonts w:ascii="Arial" w:hAnsi="Arial" w:cs="Arial"/>
                <w:color w:val="000000"/>
                <w:sz w:val="20"/>
                <w:szCs w:val="20"/>
                <w:lang w:val="es-MX" w:eastAsia="es-MX"/>
              </w:rPr>
            </w:pPr>
            <w:r>
              <w:rPr>
                <w:rFonts w:ascii="Arial" w:hAnsi="Arial" w:cs="Arial"/>
                <w:color w:val="000000"/>
                <w:sz w:val="20"/>
                <w:szCs w:val="20"/>
                <w:lang w:val="es-MX" w:eastAsia="es-MX"/>
              </w:rPr>
              <w:t>0.00</w:t>
            </w:r>
          </w:p>
        </w:tc>
        <w:tc>
          <w:tcPr>
            <w:tcW w:w="0" w:type="auto"/>
            <w:tcBorders>
              <w:top w:val="nil"/>
              <w:left w:val="nil"/>
              <w:bottom w:val="nil"/>
              <w:right w:val="nil"/>
            </w:tcBorders>
            <w:shd w:val="clear" w:color="auto" w:fill="auto"/>
            <w:noWrap/>
            <w:vAlign w:val="bottom"/>
          </w:tcPr>
          <w:p w:rsidR="008D0B37" w:rsidRPr="00581F1F" w:rsidRDefault="008D0B37" w:rsidP="00F13F04">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8D0B37" w:rsidRDefault="00A1489A" w:rsidP="00A1489A">
            <w:pPr>
              <w:jc w:val="right"/>
              <w:rPr>
                <w:rFonts w:ascii="Arial" w:hAnsi="Arial" w:cs="Arial"/>
                <w:color w:val="000000"/>
                <w:sz w:val="20"/>
                <w:szCs w:val="20"/>
                <w:lang w:val="es-MX" w:eastAsia="es-MX"/>
              </w:rPr>
            </w:pPr>
            <w:r>
              <w:rPr>
                <w:rFonts w:ascii="Arial" w:hAnsi="Arial" w:cs="Arial"/>
                <w:color w:val="000000"/>
                <w:sz w:val="20"/>
                <w:szCs w:val="20"/>
                <w:lang w:val="es-MX" w:eastAsia="es-MX"/>
              </w:rPr>
              <w:t>0</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00</w:t>
            </w:r>
          </w:p>
        </w:tc>
      </w:tr>
      <w:tr w:rsidR="008D0B37" w:rsidRPr="00581F1F" w:rsidTr="00042844">
        <w:trPr>
          <w:trHeight w:val="315"/>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Pr="00581F1F"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8D0B37" w:rsidRPr="00581F1F" w:rsidRDefault="008D0B37" w:rsidP="00BA4049">
            <w:pPr>
              <w:jc w:val="right"/>
              <w:rPr>
                <w:rFonts w:ascii="Arial" w:hAnsi="Arial" w:cs="Arial"/>
                <w:b/>
                <w:bCs/>
                <w:color w:val="000000"/>
                <w:sz w:val="20"/>
                <w:szCs w:val="20"/>
                <w:lang w:val="es-MX" w:eastAsia="es-MX"/>
              </w:rPr>
            </w:pPr>
            <w:r w:rsidRPr="00581F1F">
              <w:rPr>
                <w:rFonts w:ascii="Arial" w:hAnsi="Arial" w:cs="Arial"/>
                <w:b/>
                <w:bCs/>
                <w:color w:val="000000"/>
                <w:sz w:val="20"/>
                <w:szCs w:val="20"/>
                <w:lang w:val="es-MX" w:eastAsia="es-MX"/>
              </w:rPr>
              <w:t xml:space="preserve">$   </w:t>
            </w:r>
            <w:r w:rsidR="00BA4049">
              <w:rPr>
                <w:rFonts w:ascii="Arial" w:hAnsi="Arial" w:cs="Arial"/>
                <w:b/>
                <w:bCs/>
                <w:color w:val="000000"/>
                <w:sz w:val="20"/>
                <w:szCs w:val="20"/>
                <w:lang w:val="es-MX" w:eastAsia="es-MX"/>
              </w:rPr>
              <w:t>3</w:t>
            </w:r>
            <w:r>
              <w:rPr>
                <w:rFonts w:ascii="Arial" w:hAnsi="Arial" w:cs="Arial"/>
                <w:b/>
                <w:bCs/>
                <w:color w:val="000000"/>
                <w:sz w:val="20"/>
                <w:szCs w:val="20"/>
                <w:lang w:val="es-MX" w:eastAsia="es-MX"/>
              </w:rPr>
              <w:t>,</w:t>
            </w:r>
            <w:r w:rsidR="00BA4049">
              <w:rPr>
                <w:rFonts w:ascii="Arial" w:hAnsi="Arial" w:cs="Arial"/>
                <w:b/>
                <w:bCs/>
                <w:color w:val="000000"/>
                <w:sz w:val="20"/>
                <w:szCs w:val="20"/>
                <w:lang w:val="es-MX" w:eastAsia="es-MX"/>
              </w:rPr>
              <w:t>6</w:t>
            </w:r>
            <w:r w:rsidR="0038791D">
              <w:rPr>
                <w:rFonts w:ascii="Arial" w:hAnsi="Arial" w:cs="Arial"/>
                <w:b/>
                <w:bCs/>
                <w:color w:val="000000"/>
                <w:sz w:val="20"/>
                <w:szCs w:val="20"/>
                <w:lang w:val="es-MX" w:eastAsia="es-MX"/>
              </w:rPr>
              <w:t>95</w:t>
            </w:r>
            <w:r w:rsidRPr="00581F1F">
              <w:rPr>
                <w:rFonts w:ascii="Arial" w:hAnsi="Arial" w:cs="Arial"/>
                <w:b/>
                <w:bCs/>
                <w:color w:val="000000"/>
                <w:sz w:val="20"/>
                <w:szCs w:val="20"/>
                <w:lang w:val="es-MX" w:eastAsia="es-MX"/>
              </w:rPr>
              <w:t>,</w:t>
            </w:r>
            <w:r w:rsidR="00BA4049">
              <w:rPr>
                <w:rFonts w:ascii="Arial" w:hAnsi="Arial" w:cs="Arial"/>
                <w:b/>
                <w:bCs/>
                <w:color w:val="000000"/>
                <w:sz w:val="20"/>
                <w:szCs w:val="20"/>
                <w:lang w:val="es-MX" w:eastAsia="es-MX"/>
              </w:rPr>
              <w:t>35</w:t>
            </w:r>
            <w:r w:rsidR="0038791D">
              <w:rPr>
                <w:rFonts w:ascii="Arial" w:hAnsi="Arial" w:cs="Arial"/>
                <w:b/>
                <w:bCs/>
                <w:color w:val="000000"/>
                <w:sz w:val="20"/>
                <w:szCs w:val="20"/>
                <w:lang w:val="es-MX" w:eastAsia="es-MX"/>
              </w:rPr>
              <w:t>7</w:t>
            </w:r>
          </w:p>
        </w:tc>
        <w:tc>
          <w:tcPr>
            <w:tcW w:w="0" w:type="auto"/>
            <w:tcBorders>
              <w:top w:val="nil"/>
              <w:left w:val="nil"/>
              <w:bottom w:val="nil"/>
              <w:right w:val="nil"/>
            </w:tcBorders>
            <w:shd w:val="clear" w:color="auto" w:fill="auto"/>
            <w:noWrap/>
            <w:vAlign w:val="bottom"/>
            <w:hideMark/>
          </w:tcPr>
          <w:p w:rsidR="008D0B37" w:rsidRPr="00581F1F" w:rsidRDefault="008D0B37" w:rsidP="00F13F04">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8D0B37" w:rsidRPr="005F3445" w:rsidRDefault="008D0B37" w:rsidP="00A1489A">
            <w:pPr>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10,</w:t>
            </w:r>
            <w:r w:rsidR="00A1489A">
              <w:rPr>
                <w:rFonts w:ascii="Arial" w:hAnsi="Arial" w:cs="Arial"/>
                <w:b/>
                <w:bCs/>
                <w:color w:val="000000"/>
                <w:sz w:val="20"/>
                <w:szCs w:val="20"/>
                <w:lang w:val="es-MX" w:eastAsia="es-MX"/>
              </w:rPr>
              <w:t>334</w:t>
            </w:r>
            <w:r>
              <w:rPr>
                <w:rFonts w:ascii="Arial" w:hAnsi="Arial" w:cs="Arial"/>
                <w:b/>
                <w:bCs/>
                <w:color w:val="000000"/>
                <w:sz w:val="20"/>
                <w:szCs w:val="20"/>
                <w:lang w:val="es-MX" w:eastAsia="es-MX"/>
              </w:rPr>
              <w:t>,</w:t>
            </w:r>
            <w:r w:rsidR="00A1489A">
              <w:rPr>
                <w:rFonts w:ascii="Arial" w:hAnsi="Arial" w:cs="Arial"/>
                <w:b/>
                <w:bCs/>
                <w:color w:val="000000"/>
                <w:sz w:val="20"/>
                <w:szCs w:val="20"/>
                <w:lang w:val="es-MX" w:eastAsia="es-MX"/>
              </w:rPr>
              <w:t>307</w:t>
            </w:r>
          </w:p>
        </w:tc>
      </w:tr>
    </w:tbl>
    <w:p w:rsidR="00713060" w:rsidRDefault="00713060" w:rsidP="00713060">
      <w:pPr>
        <w:pStyle w:val="Default"/>
        <w:jc w:val="both"/>
        <w:rPr>
          <w:sz w:val="20"/>
          <w:szCs w:val="20"/>
        </w:rPr>
      </w:pPr>
    </w:p>
    <w:p w:rsidR="00713060" w:rsidRPr="00581F1F" w:rsidRDefault="00713060" w:rsidP="00EA51C2">
      <w:pPr>
        <w:pStyle w:val="Default"/>
        <w:numPr>
          <w:ilvl w:val="0"/>
          <w:numId w:val="26"/>
        </w:numPr>
        <w:jc w:val="both"/>
        <w:rPr>
          <w:b/>
          <w:sz w:val="20"/>
          <w:szCs w:val="20"/>
          <w:u w:val="single"/>
        </w:rPr>
      </w:pPr>
      <w:r w:rsidRPr="00581F1F">
        <w:rPr>
          <w:b/>
          <w:sz w:val="20"/>
          <w:szCs w:val="20"/>
          <w:u w:val="single"/>
        </w:rPr>
        <w:t>Gastos y Otras Pérdidas</w:t>
      </w:r>
    </w:p>
    <w:p w:rsidR="00EA51C2" w:rsidRPr="00581F1F" w:rsidRDefault="00EA51C2" w:rsidP="00EA51C2">
      <w:pPr>
        <w:pStyle w:val="Default"/>
        <w:jc w:val="both"/>
        <w:rPr>
          <w:sz w:val="20"/>
          <w:szCs w:val="20"/>
        </w:rPr>
      </w:pPr>
      <w:r w:rsidRPr="00581F1F">
        <w:rPr>
          <w:sz w:val="20"/>
          <w:szCs w:val="20"/>
        </w:rPr>
        <w:t xml:space="preserve">Este rubro se integra de la siguiente manera al </w:t>
      </w:r>
      <w:r w:rsidR="00835E92">
        <w:rPr>
          <w:sz w:val="20"/>
          <w:szCs w:val="20"/>
        </w:rPr>
        <w:t>3</w:t>
      </w:r>
      <w:r w:rsidR="00BA4049">
        <w:rPr>
          <w:sz w:val="20"/>
          <w:szCs w:val="20"/>
        </w:rPr>
        <w:t>0</w:t>
      </w:r>
      <w:r w:rsidRPr="00581F1F">
        <w:rPr>
          <w:sz w:val="20"/>
          <w:szCs w:val="20"/>
        </w:rPr>
        <w:t xml:space="preserve"> de </w:t>
      </w:r>
      <w:r w:rsidR="00BA4049">
        <w:rPr>
          <w:sz w:val="20"/>
          <w:szCs w:val="20"/>
        </w:rPr>
        <w:t>junio</w:t>
      </w:r>
      <w:r w:rsidRPr="00581F1F">
        <w:rPr>
          <w:sz w:val="20"/>
          <w:szCs w:val="20"/>
        </w:rPr>
        <w:t xml:space="preserve"> de 20</w:t>
      </w:r>
      <w:r w:rsidR="0038791D">
        <w:rPr>
          <w:sz w:val="20"/>
          <w:szCs w:val="20"/>
        </w:rPr>
        <w:t>20</w:t>
      </w:r>
      <w:r w:rsidRPr="00581F1F">
        <w:rPr>
          <w:sz w:val="20"/>
          <w:szCs w:val="20"/>
        </w:rPr>
        <w:t>:</w:t>
      </w:r>
    </w:p>
    <w:p w:rsidR="00EA51C2" w:rsidRPr="00581F1F" w:rsidRDefault="00EA51C2" w:rsidP="00EA51C2">
      <w:pPr>
        <w:pStyle w:val="Default"/>
        <w:jc w:val="both"/>
        <w:rPr>
          <w:b/>
          <w:sz w:val="20"/>
          <w:szCs w:val="20"/>
        </w:rPr>
      </w:pPr>
    </w:p>
    <w:tbl>
      <w:tblPr>
        <w:tblW w:w="0" w:type="auto"/>
        <w:tblCellMar>
          <w:left w:w="70" w:type="dxa"/>
          <w:right w:w="70" w:type="dxa"/>
        </w:tblCellMar>
        <w:tblLook w:val="04A0" w:firstRow="1" w:lastRow="0" w:firstColumn="1" w:lastColumn="0" w:noHBand="0" w:noVBand="1"/>
      </w:tblPr>
      <w:tblGrid>
        <w:gridCol w:w="1405"/>
        <w:gridCol w:w="1046"/>
        <w:gridCol w:w="889"/>
        <w:gridCol w:w="190"/>
        <w:gridCol w:w="190"/>
        <w:gridCol w:w="190"/>
        <w:gridCol w:w="146"/>
        <w:gridCol w:w="146"/>
        <w:gridCol w:w="146"/>
        <w:gridCol w:w="146"/>
        <w:gridCol w:w="146"/>
        <w:gridCol w:w="146"/>
        <w:gridCol w:w="146"/>
        <w:gridCol w:w="1264"/>
        <w:gridCol w:w="146"/>
      </w:tblGrid>
      <w:tr w:rsidR="008D0B37" w:rsidRPr="00581F1F" w:rsidTr="00042844">
        <w:trPr>
          <w:trHeight w:val="300"/>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tcPr>
          <w:p w:rsidR="008D0B37" w:rsidRPr="00581F1F" w:rsidRDefault="008D0B37" w:rsidP="00EA51C2">
            <w:pPr>
              <w:jc w:val="center"/>
              <w:rPr>
                <w:rFonts w:ascii="Arial" w:hAnsi="Arial" w:cs="Arial"/>
                <w:b/>
                <w:bCs/>
                <w:color w:val="000000"/>
                <w:sz w:val="20"/>
                <w:szCs w:val="20"/>
                <w:u w:val="single"/>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38791D">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38791D">
              <w:rPr>
                <w:rFonts w:ascii="Arial" w:hAnsi="Arial" w:cs="Arial"/>
                <w:b/>
                <w:bCs/>
                <w:color w:val="000000"/>
                <w:sz w:val="20"/>
                <w:szCs w:val="20"/>
                <w:u w:val="single"/>
                <w:lang w:val="es-MX" w:eastAsia="es-MX"/>
              </w:rPr>
              <w:t>20</w:t>
            </w:r>
          </w:p>
        </w:tc>
        <w:tc>
          <w:tcPr>
            <w:tcW w:w="0" w:type="auto"/>
            <w:tcBorders>
              <w:top w:val="nil"/>
              <w:left w:val="nil"/>
              <w:bottom w:val="nil"/>
              <w:right w:val="nil"/>
            </w:tcBorders>
            <w:shd w:val="clear" w:color="auto" w:fill="auto"/>
            <w:noWrap/>
            <w:vAlign w:val="bottom"/>
            <w:hideMark/>
          </w:tcPr>
          <w:p w:rsidR="008D0B37" w:rsidRPr="00581F1F" w:rsidRDefault="008D0B37" w:rsidP="00713060">
            <w:pPr>
              <w:jc w:val="center"/>
              <w:rPr>
                <w:rFonts w:ascii="Arial" w:hAnsi="Arial" w:cs="Arial"/>
                <w:b/>
                <w:bCs/>
                <w:color w:val="000000"/>
                <w:sz w:val="20"/>
                <w:szCs w:val="20"/>
                <w:u w:val="single"/>
                <w:lang w:val="es-MX" w:eastAsia="es-MX"/>
              </w:rPr>
            </w:pPr>
          </w:p>
        </w:tc>
      </w:tr>
      <w:tr w:rsidR="008D0B37" w:rsidRPr="00581F1F" w:rsidTr="00042844">
        <w:trPr>
          <w:trHeight w:val="285"/>
        </w:trPr>
        <w:tc>
          <w:tcPr>
            <w:tcW w:w="0" w:type="auto"/>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r>
      <w:tr w:rsidR="008D0B37" w:rsidRPr="00581F1F" w:rsidTr="00042844">
        <w:trPr>
          <w:trHeight w:val="285"/>
        </w:trPr>
        <w:tc>
          <w:tcPr>
            <w:tcW w:w="0" w:type="auto"/>
            <w:gridSpan w:val="3"/>
            <w:tcBorders>
              <w:top w:val="nil"/>
              <w:bottom w:val="nil"/>
              <w:right w:val="nil"/>
            </w:tcBorders>
            <w:shd w:val="clear" w:color="auto" w:fill="auto"/>
            <w:noWrap/>
            <w:vAlign w:val="bottom"/>
            <w:hideMark/>
          </w:tcPr>
          <w:p w:rsidR="008D0B37" w:rsidRPr="00581F1F" w:rsidRDefault="008D0B37" w:rsidP="00415314">
            <w:pPr>
              <w:rPr>
                <w:rFonts w:ascii="Arial" w:hAnsi="Arial" w:cs="Arial"/>
                <w:color w:val="000000"/>
                <w:sz w:val="20"/>
                <w:szCs w:val="20"/>
                <w:lang w:val="es-MX" w:eastAsia="es-MX"/>
              </w:rPr>
            </w:pPr>
            <w:r w:rsidRPr="00581F1F">
              <w:rPr>
                <w:rFonts w:ascii="Arial" w:hAnsi="Arial" w:cs="Arial"/>
                <w:color w:val="000000"/>
                <w:sz w:val="20"/>
                <w:szCs w:val="20"/>
                <w:lang w:val="es-MX" w:eastAsia="es-MX"/>
              </w:rPr>
              <w:t>Materiales y suministros</w:t>
            </w:r>
          </w:p>
        </w:tc>
        <w:tc>
          <w:tcPr>
            <w:tcW w:w="0" w:type="auto"/>
            <w:tcBorders>
              <w:top w:val="nil"/>
              <w:left w:val="nil"/>
              <w:bottom w:val="nil"/>
              <w:right w:val="nil"/>
            </w:tcBorders>
            <w:shd w:val="clear" w:color="auto" w:fill="auto"/>
            <w:noWrap/>
            <w:vAlign w:val="bottom"/>
            <w:hideMark/>
          </w:tcPr>
          <w:p w:rsidR="008D0B37" w:rsidRPr="00581F1F" w:rsidRDefault="008D0B37" w:rsidP="00415314">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415314">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415314">
            <w:pPr>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5A7EBD" w:rsidP="005A7EBD">
            <w:pPr>
              <w:jc w:val="right"/>
              <w:rPr>
                <w:rFonts w:ascii="Arial" w:hAnsi="Arial" w:cs="Arial"/>
                <w:color w:val="000000"/>
                <w:sz w:val="20"/>
                <w:szCs w:val="20"/>
                <w:lang w:val="es-MX" w:eastAsia="es-MX"/>
              </w:rPr>
            </w:pPr>
            <w:r>
              <w:rPr>
                <w:rFonts w:ascii="Arial" w:hAnsi="Arial" w:cs="Arial"/>
                <w:color w:val="000000"/>
                <w:sz w:val="20"/>
                <w:szCs w:val="20"/>
                <w:lang w:val="es-MX" w:eastAsia="es-MX"/>
              </w:rPr>
              <w:t>44</w:t>
            </w:r>
            <w:r w:rsidR="008D0B37">
              <w:rPr>
                <w:rFonts w:ascii="Arial" w:hAnsi="Arial" w:cs="Arial"/>
                <w:color w:val="000000"/>
                <w:sz w:val="20"/>
                <w:szCs w:val="20"/>
                <w:lang w:val="es-MX" w:eastAsia="es-MX"/>
              </w:rPr>
              <w:t>,</w:t>
            </w:r>
            <w:r w:rsidR="0038791D">
              <w:rPr>
                <w:rFonts w:ascii="Arial" w:hAnsi="Arial" w:cs="Arial"/>
                <w:color w:val="000000"/>
                <w:sz w:val="20"/>
                <w:szCs w:val="20"/>
                <w:lang w:val="es-MX" w:eastAsia="es-MX"/>
              </w:rPr>
              <w:t>4</w:t>
            </w:r>
            <w:r>
              <w:rPr>
                <w:rFonts w:ascii="Arial" w:hAnsi="Arial" w:cs="Arial"/>
                <w:color w:val="000000"/>
                <w:sz w:val="20"/>
                <w:szCs w:val="20"/>
                <w:lang w:val="es-MX" w:eastAsia="es-MX"/>
              </w:rPr>
              <w:t>54</w:t>
            </w:r>
          </w:p>
        </w:tc>
        <w:tc>
          <w:tcPr>
            <w:tcW w:w="0" w:type="auto"/>
            <w:tcBorders>
              <w:top w:val="nil"/>
              <w:left w:val="nil"/>
              <w:bottom w:val="nil"/>
              <w:right w:val="nil"/>
            </w:tcBorders>
            <w:shd w:val="clear" w:color="auto" w:fill="auto"/>
            <w:noWrap/>
            <w:vAlign w:val="bottom"/>
            <w:hideMark/>
          </w:tcPr>
          <w:p w:rsidR="008D0B37" w:rsidRPr="00581F1F" w:rsidRDefault="008D0B37" w:rsidP="00B91C9C">
            <w:pPr>
              <w:jc w:val="cente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p>
        </w:tc>
      </w:tr>
      <w:tr w:rsidR="008D0B37" w:rsidRPr="00581F1F" w:rsidTr="00042844">
        <w:trPr>
          <w:trHeight w:val="285"/>
        </w:trPr>
        <w:tc>
          <w:tcPr>
            <w:tcW w:w="0" w:type="auto"/>
            <w:gridSpan w:val="2"/>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Servicios generales</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5A7EBD" w:rsidP="005A7EBD">
            <w:pPr>
              <w:jc w:val="right"/>
              <w:rPr>
                <w:rFonts w:ascii="Arial" w:hAnsi="Arial" w:cs="Arial"/>
                <w:color w:val="000000"/>
                <w:sz w:val="20"/>
                <w:szCs w:val="20"/>
                <w:lang w:val="es-MX" w:eastAsia="es-MX"/>
              </w:rPr>
            </w:pPr>
            <w:r>
              <w:rPr>
                <w:rFonts w:ascii="Arial" w:hAnsi="Arial" w:cs="Arial"/>
                <w:color w:val="000000"/>
                <w:sz w:val="20"/>
                <w:szCs w:val="20"/>
                <w:lang w:val="es-MX" w:eastAsia="es-MX"/>
              </w:rPr>
              <w:t>1´771</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962</w:t>
            </w:r>
          </w:p>
        </w:tc>
        <w:tc>
          <w:tcPr>
            <w:tcW w:w="0" w:type="auto"/>
            <w:tcBorders>
              <w:top w:val="nil"/>
              <w:left w:val="nil"/>
              <w:bottom w:val="nil"/>
              <w:right w:val="nil"/>
            </w:tcBorders>
            <w:shd w:val="clear" w:color="auto" w:fill="auto"/>
            <w:noWrap/>
            <w:vAlign w:val="bottom"/>
            <w:hideMark/>
          </w:tcPr>
          <w:p w:rsidR="008D0B37" w:rsidRPr="00581F1F" w:rsidRDefault="008D0B37" w:rsidP="00B91C9C">
            <w:pPr>
              <w:jc w:val="center"/>
              <w:rPr>
                <w:rFonts w:ascii="Arial" w:hAnsi="Arial" w:cs="Arial"/>
                <w:color w:val="000000"/>
                <w:sz w:val="20"/>
                <w:szCs w:val="20"/>
                <w:lang w:val="es-MX" w:eastAsia="es-MX"/>
              </w:rPr>
            </w:pPr>
          </w:p>
        </w:tc>
      </w:tr>
      <w:tr w:rsidR="008D0B37" w:rsidRPr="00581F1F" w:rsidTr="00042844">
        <w:trPr>
          <w:trHeight w:val="285"/>
        </w:trPr>
        <w:tc>
          <w:tcPr>
            <w:tcW w:w="0" w:type="auto"/>
            <w:gridSpan w:val="6"/>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Estimaciones, Depreciaciones, Deterioros, </w:t>
            </w:r>
          </w:p>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Obsolescencia y Amortizaciones</w:t>
            </w: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bottom w:val="nil"/>
              <w:right w:val="nil"/>
            </w:tcBorders>
          </w:tcPr>
          <w:p w:rsidR="008D0B37" w:rsidRDefault="008D0B37" w:rsidP="008D0B37">
            <w:pPr>
              <w:jc w:val="right"/>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8D0B37" w:rsidRPr="00581F1F" w:rsidRDefault="005A7EBD" w:rsidP="005A7EBD">
            <w:pPr>
              <w:jc w:val="right"/>
              <w:rPr>
                <w:rFonts w:ascii="Arial" w:hAnsi="Arial" w:cs="Arial"/>
                <w:color w:val="000000"/>
                <w:sz w:val="20"/>
                <w:szCs w:val="20"/>
                <w:lang w:val="es-MX" w:eastAsia="es-MX"/>
              </w:rPr>
            </w:pPr>
            <w:r>
              <w:rPr>
                <w:rFonts w:ascii="Arial" w:hAnsi="Arial" w:cs="Arial"/>
                <w:color w:val="000000"/>
                <w:sz w:val="20"/>
                <w:szCs w:val="20"/>
                <w:lang w:val="es-MX" w:eastAsia="es-MX"/>
              </w:rPr>
              <w:t>202</w:t>
            </w:r>
            <w:r w:rsidR="008D0B37">
              <w:rPr>
                <w:rFonts w:ascii="Arial" w:hAnsi="Arial" w:cs="Arial"/>
                <w:color w:val="000000"/>
                <w:sz w:val="20"/>
                <w:szCs w:val="20"/>
                <w:lang w:val="es-MX" w:eastAsia="es-MX"/>
              </w:rPr>
              <w:t>,</w:t>
            </w:r>
            <w:r>
              <w:rPr>
                <w:rFonts w:ascii="Arial" w:hAnsi="Arial" w:cs="Arial"/>
                <w:color w:val="000000"/>
                <w:sz w:val="20"/>
                <w:szCs w:val="20"/>
                <w:lang w:val="es-MX" w:eastAsia="es-MX"/>
              </w:rPr>
              <w:t>450</w:t>
            </w:r>
          </w:p>
        </w:tc>
        <w:tc>
          <w:tcPr>
            <w:tcW w:w="0" w:type="auto"/>
            <w:tcBorders>
              <w:top w:val="nil"/>
              <w:left w:val="nil"/>
              <w:bottom w:val="nil"/>
              <w:right w:val="nil"/>
            </w:tcBorders>
            <w:shd w:val="clear" w:color="auto" w:fill="auto"/>
            <w:noWrap/>
            <w:vAlign w:val="bottom"/>
            <w:hideMark/>
          </w:tcPr>
          <w:p w:rsidR="008D0B37" w:rsidRPr="00581F1F" w:rsidRDefault="00804393" w:rsidP="00B91C9C">
            <w:pPr>
              <w:jc w:val="center"/>
              <w:rPr>
                <w:rFonts w:ascii="Arial" w:hAnsi="Arial" w:cs="Arial"/>
                <w:color w:val="000000"/>
                <w:sz w:val="20"/>
                <w:szCs w:val="20"/>
                <w:lang w:val="es-MX" w:eastAsia="es-MX"/>
              </w:rPr>
            </w:pPr>
            <w:r>
              <w:rPr>
                <w:rFonts w:ascii="Arial" w:hAnsi="Arial" w:cs="Arial"/>
                <w:color w:val="000000"/>
                <w:sz w:val="20"/>
                <w:szCs w:val="20"/>
                <w:lang w:val="es-MX" w:eastAsia="es-MX"/>
              </w:rPr>
              <w:t xml:space="preserve">   </w:t>
            </w:r>
          </w:p>
        </w:tc>
      </w:tr>
      <w:tr w:rsidR="008D0B37" w:rsidRPr="00581F1F" w:rsidTr="00042844">
        <w:trPr>
          <w:trHeight w:val="315"/>
        </w:trPr>
        <w:tc>
          <w:tcPr>
            <w:tcW w:w="0" w:type="auto"/>
            <w:gridSpan w:val="3"/>
            <w:tcBorders>
              <w:top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Total gastos y otras pérdidas</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tcPr>
          <w:p w:rsidR="008D0B37" w:rsidRDefault="008D0B37" w:rsidP="008D0B37">
            <w:pPr>
              <w:jc w:val="right"/>
              <w:rPr>
                <w:rFonts w:ascii="Arial" w:hAnsi="Arial" w:cs="Arial"/>
                <w:b/>
                <w:bCs/>
                <w:color w:val="000000"/>
                <w:sz w:val="20"/>
                <w:szCs w:val="20"/>
                <w:lang w:val="es-MX" w:eastAsia="es-MX"/>
              </w:rPr>
            </w:pPr>
          </w:p>
        </w:tc>
        <w:tc>
          <w:tcPr>
            <w:tcW w:w="0" w:type="auto"/>
            <w:tcBorders>
              <w:top w:val="single" w:sz="4" w:space="0" w:color="auto"/>
              <w:left w:val="nil"/>
              <w:bottom w:val="double" w:sz="6" w:space="0" w:color="auto"/>
              <w:right w:val="nil"/>
            </w:tcBorders>
            <w:shd w:val="clear" w:color="auto" w:fill="auto"/>
            <w:noWrap/>
            <w:vAlign w:val="bottom"/>
            <w:hideMark/>
          </w:tcPr>
          <w:p w:rsidR="008D0B37" w:rsidRPr="00581F1F" w:rsidRDefault="008D0B37" w:rsidP="00B91C9C">
            <w:pPr>
              <w:jc w:val="right"/>
              <w:rPr>
                <w:rFonts w:ascii="Arial" w:hAnsi="Arial" w:cs="Arial"/>
                <w:b/>
                <w:bCs/>
                <w:color w:val="000000"/>
                <w:sz w:val="20"/>
                <w:szCs w:val="20"/>
                <w:lang w:val="es-MX" w:eastAsia="es-MX"/>
              </w:rPr>
            </w:pPr>
            <w:r>
              <w:rPr>
                <w:rFonts w:ascii="Arial" w:hAnsi="Arial" w:cs="Arial"/>
                <w:b/>
                <w:bCs/>
                <w:color w:val="000000"/>
                <w:sz w:val="20"/>
                <w:szCs w:val="20"/>
                <w:lang w:val="es-MX" w:eastAsia="es-MX"/>
              </w:rPr>
              <w:t xml:space="preserve">$  </w:t>
            </w:r>
            <w:r w:rsidR="005A7EBD">
              <w:rPr>
                <w:rFonts w:ascii="Arial" w:hAnsi="Arial" w:cs="Arial"/>
                <w:b/>
                <w:bCs/>
                <w:color w:val="000000"/>
                <w:sz w:val="20"/>
                <w:szCs w:val="20"/>
                <w:lang w:val="es-MX" w:eastAsia="es-MX"/>
              </w:rPr>
              <w:t>2´018</w:t>
            </w:r>
            <w:r w:rsidRPr="00581F1F">
              <w:rPr>
                <w:rFonts w:ascii="Arial" w:hAnsi="Arial" w:cs="Arial"/>
                <w:b/>
                <w:bCs/>
                <w:color w:val="000000"/>
                <w:sz w:val="20"/>
                <w:szCs w:val="20"/>
                <w:lang w:val="es-MX" w:eastAsia="es-MX"/>
              </w:rPr>
              <w:t>,</w:t>
            </w:r>
            <w:r w:rsidR="00B91C9C">
              <w:rPr>
                <w:rFonts w:ascii="Arial" w:hAnsi="Arial" w:cs="Arial"/>
                <w:b/>
                <w:bCs/>
                <w:color w:val="000000"/>
                <w:sz w:val="20"/>
                <w:szCs w:val="20"/>
                <w:lang w:val="es-MX" w:eastAsia="es-MX"/>
              </w:rPr>
              <w:t>86</w:t>
            </w:r>
            <w:r w:rsidR="005A7EBD">
              <w:rPr>
                <w:rFonts w:ascii="Arial" w:hAnsi="Arial" w:cs="Arial"/>
                <w:b/>
                <w:bCs/>
                <w:color w:val="000000"/>
                <w:sz w:val="20"/>
                <w:szCs w:val="20"/>
                <w:lang w:val="es-MX" w:eastAsia="es-MX"/>
              </w:rPr>
              <w:t>6</w:t>
            </w:r>
          </w:p>
        </w:tc>
        <w:tc>
          <w:tcPr>
            <w:tcW w:w="0" w:type="auto"/>
            <w:tcBorders>
              <w:top w:val="nil"/>
              <w:left w:val="nil"/>
              <w:bottom w:val="nil"/>
              <w:right w:val="nil"/>
            </w:tcBorders>
            <w:shd w:val="clear" w:color="auto" w:fill="auto"/>
            <w:noWrap/>
            <w:vAlign w:val="bottom"/>
            <w:hideMark/>
          </w:tcPr>
          <w:p w:rsidR="008D0B37" w:rsidRPr="00581F1F" w:rsidRDefault="008D0B37" w:rsidP="00713060">
            <w:pPr>
              <w:rPr>
                <w:rFonts w:ascii="Arial" w:hAnsi="Arial" w:cs="Arial"/>
                <w:color w:val="000000"/>
                <w:sz w:val="20"/>
                <w:szCs w:val="20"/>
                <w:lang w:val="es-MX" w:eastAsia="es-MX"/>
              </w:rPr>
            </w:pPr>
          </w:p>
        </w:tc>
      </w:tr>
    </w:tbl>
    <w:p w:rsidR="00713060" w:rsidRPr="00581F1F" w:rsidRDefault="00713060" w:rsidP="00713060">
      <w:pPr>
        <w:pStyle w:val="Default"/>
        <w:jc w:val="both"/>
        <w:rPr>
          <w:sz w:val="20"/>
          <w:szCs w:val="20"/>
        </w:rPr>
      </w:pPr>
    </w:p>
    <w:p w:rsidR="00713060" w:rsidRPr="00581F1F" w:rsidRDefault="00713060" w:rsidP="00713060">
      <w:pPr>
        <w:pStyle w:val="Default"/>
        <w:jc w:val="both"/>
        <w:rPr>
          <w:sz w:val="20"/>
          <w:szCs w:val="20"/>
        </w:rPr>
      </w:pPr>
      <w:r w:rsidRPr="00C00BDD">
        <w:rPr>
          <w:sz w:val="20"/>
          <w:szCs w:val="20"/>
        </w:rPr>
        <w:t xml:space="preserve">Los servicios </w:t>
      </w:r>
      <w:r w:rsidR="00FE3C02">
        <w:rPr>
          <w:sz w:val="20"/>
          <w:szCs w:val="20"/>
        </w:rPr>
        <w:t>generales representan</w:t>
      </w:r>
      <w:r w:rsidRPr="00C00BDD">
        <w:rPr>
          <w:sz w:val="20"/>
          <w:szCs w:val="20"/>
        </w:rPr>
        <w:t xml:space="preserve"> </w:t>
      </w:r>
      <w:r w:rsidR="00FE3C02">
        <w:rPr>
          <w:sz w:val="20"/>
          <w:szCs w:val="20"/>
        </w:rPr>
        <w:t>e</w:t>
      </w:r>
      <w:r w:rsidRPr="00C00BDD">
        <w:rPr>
          <w:sz w:val="20"/>
          <w:szCs w:val="20"/>
        </w:rPr>
        <w:t xml:space="preserve">l </w:t>
      </w:r>
      <w:r w:rsidR="00B91C9C">
        <w:rPr>
          <w:sz w:val="20"/>
          <w:szCs w:val="20"/>
        </w:rPr>
        <w:t>47</w:t>
      </w:r>
      <w:r w:rsidR="00804393">
        <w:rPr>
          <w:sz w:val="20"/>
          <w:szCs w:val="20"/>
        </w:rPr>
        <w:t>.</w:t>
      </w:r>
      <w:r w:rsidR="00B91C9C">
        <w:rPr>
          <w:sz w:val="20"/>
          <w:szCs w:val="20"/>
        </w:rPr>
        <w:t>9</w:t>
      </w:r>
      <w:r w:rsidR="005413B1">
        <w:rPr>
          <w:sz w:val="20"/>
          <w:szCs w:val="20"/>
        </w:rPr>
        <w:t>4</w:t>
      </w:r>
      <w:r w:rsidRPr="00C00BDD">
        <w:rPr>
          <w:sz w:val="20"/>
          <w:szCs w:val="20"/>
        </w:rPr>
        <w:t xml:space="preserve">% del total de gastos de la Entidad, con una plantilla de </w:t>
      </w:r>
      <w:r w:rsidR="00FE3C02">
        <w:rPr>
          <w:sz w:val="20"/>
          <w:szCs w:val="20"/>
        </w:rPr>
        <w:t>4</w:t>
      </w:r>
      <w:r w:rsidRPr="00C00BDD">
        <w:rPr>
          <w:sz w:val="20"/>
          <w:szCs w:val="20"/>
        </w:rPr>
        <w:t xml:space="preserve"> </w:t>
      </w:r>
      <w:r w:rsidR="009D4D70">
        <w:rPr>
          <w:sz w:val="20"/>
          <w:szCs w:val="20"/>
        </w:rPr>
        <w:t>elementos</w:t>
      </w:r>
      <w:r w:rsidRPr="00C00BDD">
        <w:rPr>
          <w:sz w:val="20"/>
          <w:szCs w:val="20"/>
        </w:rPr>
        <w:t xml:space="preserve"> </w:t>
      </w:r>
      <w:r w:rsidR="00FE3C02">
        <w:rPr>
          <w:sz w:val="20"/>
          <w:szCs w:val="20"/>
        </w:rPr>
        <w:t xml:space="preserve">los cuales están contratados bajo el régimen de honorarios profesionales. </w:t>
      </w:r>
    </w:p>
    <w:p w:rsidR="003C5119" w:rsidRPr="00581F1F" w:rsidRDefault="003C5119" w:rsidP="00713060">
      <w:pPr>
        <w:pStyle w:val="Default"/>
        <w:jc w:val="both"/>
        <w:rPr>
          <w:b/>
          <w:sz w:val="20"/>
          <w:szCs w:val="20"/>
        </w:rPr>
      </w:pPr>
    </w:p>
    <w:p w:rsidR="003C5119" w:rsidRPr="007A45A6" w:rsidRDefault="003C5119" w:rsidP="003C5119">
      <w:pPr>
        <w:pStyle w:val="Default"/>
        <w:numPr>
          <w:ilvl w:val="0"/>
          <w:numId w:val="22"/>
        </w:numPr>
        <w:jc w:val="both"/>
        <w:rPr>
          <w:b/>
          <w:sz w:val="20"/>
          <w:szCs w:val="20"/>
        </w:rPr>
      </w:pPr>
      <w:r w:rsidRPr="007A45A6">
        <w:rPr>
          <w:b/>
          <w:sz w:val="20"/>
          <w:szCs w:val="20"/>
        </w:rPr>
        <w:t>Notas al Estado de Flujos de Efectivo</w:t>
      </w:r>
    </w:p>
    <w:p w:rsidR="003C5119" w:rsidRPr="00581F1F" w:rsidRDefault="003C5119" w:rsidP="003C5119">
      <w:pPr>
        <w:pStyle w:val="Default"/>
        <w:jc w:val="both"/>
        <w:rPr>
          <w:sz w:val="20"/>
          <w:szCs w:val="20"/>
        </w:rPr>
      </w:pPr>
    </w:p>
    <w:p w:rsidR="003C5119" w:rsidRDefault="0013767E" w:rsidP="003C5119">
      <w:pPr>
        <w:pStyle w:val="Default"/>
        <w:jc w:val="both"/>
        <w:rPr>
          <w:sz w:val="20"/>
          <w:szCs w:val="20"/>
        </w:rPr>
      </w:pPr>
      <w:r>
        <w:rPr>
          <w:sz w:val="20"/>
          <w:szCs w:val="20"/>
        </w:rPr>
        <w:t xml:space="preserve">Los saldos en cuentas de inversiones se encuentran invertidos en valores gubernamentales  en </w:t>
      </w:r>
      <w:r w:rsidR="00BB198C">
        <w:rPr>
          <w:sz w:val="20"/>
          <w:szCs w:val="20"/>
        </w:rPr>
        <w:t>tres</w:t>
      </w:r>
      <w:r>
        <w:rPr>
          <w:sz w:val="20"/>
          <w:szCs w:val="20"/>
        </w:rPr>
        <w:t xml:space="preserve"> cuentas</w:t>
      </w:r>
      <w:r w:rsidR="00804393">
        <w:rPr>
          <w:sz w:val="20"/>
          <w:szCs w:val="20"/>
        </w:rPr>
        <w:t>:</w:t>
      </w:r>
      <w:r>
        <w:rPr>
          <w:sz w:val="20"/>
          <w:szCs w:val="20"/>
        </w:rPr>
        <w:t xml:space="preserve"> Nacional Financiera, Fiduciaria del Fideicomiso AGROSON</w:t>
      </w:r>
      <w:r w:rsidR="00BB198C">
        <w:rPr>
          <w:sz w:val="20"/>
          <w:szCs w:val="20"/>
        </w:rPr>
        <w:t>,</w:t>
      </w:r>
      <w:r>
        <w:rPr>
          <w:sz w:val="20"/>
          <w:szCs w:val="20"/>
        </w:rPr>
        <w:t xml:space="preserve"> BBVA</w:t>
      </w:r>
      <w:r w:rsidR="00BB198C">
        <w:rPr>
          <w:sz w:val="20"/>
          <w:szCs w:val="20"/>
        </w:rPr>
        <w:t xml:space="preserve"> y Ban</w:t>
      </w:r>
      <w:r w:rsidR="00095D93">
        <w:rPr>
          <w:sz w:val="20"/>
          <w:szCs w:val="20"/>
        </w:rPr>
        <w:t>-</w:t>
      </w:r>
      <w:r w:rsidR="00090C6E">
        <w:rPr>
          <w:sz w:val="20"/>
          <w:szCs w:val="20"/>
        </w:rPr>
        <w:t>Bajio.</w:t>
      </w:r>
    </w:p>
    <w:p w:rsidR="005C09F7" w:rsidRPr="005C09F7" w:rsidRDefault="005C09F7" w:rsidP="00713060">
      <w:pPr>
        <w:pStyle w:val="Default"/>
        <w:jc w:val="both"/>
        <w:rPr>
          <w:sz w:val="20"/>
          <w:szCs w:val="20"/>
          <w:lang w:val="es-ES"/>
        </w:rPr>
      </w:pPr>
    </w:p>
    <w:p w:rsidR="00713060" w:rsidRPr="00581F1F" w:rsidRDefault="00713060" w:rsidP="00415314">
      <w:pPr>
        <w:pStyle w:val="Default"/>
        <w:numPr>
          <w:ilvl w:val="0"/>
          <w:numId w:val="24"/>
        </w:numPr>
        <w:jc w:val="both"/>
        <w:rPr>
          <w:b/>
          <w:sz w:val="20"/>
          <w:szCs w:val="20"/>
        </w:rPr>
      </w:pPr>
      <w:r w:rsidRPr="00581F1F">
        <w:rPr>
          <w:b/>
          <w:sz w:val="20"/>
          <w:szCs w:val="20"/>
        </w:rPr>
        <w:t>Notas de Memoria (Cuentas de Orden)</w:t>
      </w:r>
    </w:p>
    <w:p w:rsidR="00713060" w:rsidRPr="00581F1F" w:rsidRDefault="00713060" w:rsidP="00713060">
      <w:pPr>
        <w:pStyle w:val="Default"/>
        <w:jc w:val="both"/>
        <w:rPr>
          <w:sz w:val="20"/>
          <w:szCs w:val="20"/>
        </w:rPr>
      </w:pPr>
    </w:p>
    <w:p w:rsidR="00713060" w:rsidRPr="00581F1F" w:rsidRDefault="00713060" w:rsidP="00713060">
      <w:pPr>
        <w:pStyle w:val="Default"/>
        <w:numPr>
          <w:ilvl w:val="0"/>
          <w:numId w:val="30"/>
        </w:numPr>
        <w:jc w:val="both"/>
        <w:rPr>
          <w:b/>
          <w:sz w:val="20"/>
          <w:szCs w:val="20"/>
        </w:rPr>
      </w:pPr>
      <w:r w:rsidRPr="00581F1F">
        <w:rPr>
          <w:b/>
          <w:sz w:val="20"/>
          <w:szCs w:val="20"/>
        </w:rPr>
        <w:t>Cuentas de orden contables</w:t>
      </w:r>
    </w:p>
    <w:p w:rsidR="00713060" w:rsidRPr="00581F1F" w:rsidRDefault="00713060" w:rsidP="00713060">
      <w:pPr>
        <w:pStyle w:val="Default"/>
        <w:jc w:val="both"/>
        <w:rPr>
          <w:sz w:val="20"/>
          <w:szCs w:val="20"/>
        </w:rPr>
      </w:pPr>
      <w:r w:rsidRPr="00581F1F">
        <w:rPr>
          <w:sz w:val="20"/>
          <w:szCs w:val="20"/>
        </w:rPr>
        <w:t xml:space="preserve">Este rubro se integra de la siguiente manera al </w:t>
      </w:r>
      <w:r w:rsidR="00AF1858">
        <w:rPr>
          <w:sz w:val="20"/>
          <w:szCs w:val="20"/>
        </w:rPr>
        <w:t>3</w:t>
      </w:r>
      <w:r w:rsidR="00804393">
        <w:rPr>
          <w:sz w:val="20"/>
          <w:szCs w:val="20"/>
        </w:rPr>
        <w:t>1</w:t>
      </w:r>
      <w:r w:rsidRPr="00581F1F">
        <w:rPr>
          <w:sz w:val="20"/>
          <w:szCs w:val="20"/>
        </w:rPr>
        <w:t xml:space="preserve"> de </w:t>
      </w:r>
      <w:r w:rsidR="00A1489A">
        <w:rPr>
          <w:sz w:val="20"/>
          <w:szCs w:val="20"/>
        </w:rPr>
        <w:t>marzo</w:t>
      </w:r>
      <w:r w:rsidRPr="00581F1F">
        <w:rPr>
          <w:sz w:val="20"/>
          <w:szCs w:val="20"/>
        </w:rPr>
        <w:t xml:space="preserve"> de 20</w:t>
      </w:r>
      <w:r w:rsidR="00A1489A">
        <w:rPr>
          <w:sz w:val="20"/>
          <w:szCs w:val="20"/>
        </w:rPr>
        <w:t>20</w:t>
      </w:r>
      <w:r w:rsidRPr="00581F1F">
        <w:rPr>
          <w:sz w:val="20"/>
          <w:szCs w:val="20"/>
        </w:rPr>
        <w:t xml:space="preserve"> y </w:t>
      </w:r>
      <w:r w:rsidR="00A35C2E" w:rsidRPr="00581F1F">
        <w:rPr>
          <w:sz w:val="20"/>
          <w:szCs w:val="20"/>
        </w:rPr>
        <w:t xml:space="preserve">31 de diciembre de </w:t>
      </w:r>
      <w:r w:rsidRPr="00581F1F">
        <w:rPr>
          <w:sz w:val="20"/>
          <w:szCs w:val="20"/>
        </w:rPr>
        <w:t>201</w:t>
      </w:r>
      <w:r w:rsidR="00A1489A">
        <w:rPr>
          <w:sz w:val="20"/>
          <w:szCs w:val="20"/>
        </w:rPr>
        <w:t>9</w:t>
      </w:r>
      <w:r w:rsidRPr="00581F1F">
        <w:rPr>
          <w:sz w:val="20"/>
          <w:szCs w:val="20"/>
        </w:rPr>
        <w:t>:</w:t>
      </w:r>
    </w:p>
    <w:p w:rsidR="00713060" w:rsidRPr="00581F1F" w:rsidRDefault="00713060" w:rsidP="00713060">
      <w:pPr>
        <w:pStyle w:val="Default"/>
        <w:jc w:val="both"/>
        <w:rPr>
          <w:sz w:val="20"/>
          <w:szCs w:val="20"/>
        </w:rPr>
      </w:pPr>
    </w:p>
    <w:tbl>
      <w:tblPr>
        <w:tblW w:w="0" w:type="auto"/>
        <w:tblCellMar>
          <w:left w:w="70" w:type="dxa"/>
          <w:right w:w="70" w:type="dxa"/>
        </w:tblCellMar>
        <w:tblLook w:val="04A0" w:firstRow="1" w:lastRow="0" w:firstColumn="1" w:lastColumn="0" w:noHBand="0" w:noVBand="1"/>
      </w:tblPr>
      <w:tblGrid>
        <w:gridCol w:w="1338"/>
        <w:gridCol w:w="996"/>
        <w:gridCol w:w="996"/>
        <w:gridCol w:w="996"/>
        <w:gridCol w:w="184"/>
        <w:gridCol w:w="1419"/>
        <w:gridCol w:w="146"/>
        <w:gridCol w:w="1419"/>
      </w:tblGrid>
      <w:tr w:rsidR="00042844" w:rsidRPr="00581F1F" w:rsidTr="003F06A7">
        <w:trPr>
          <w:trHeight w:val="300"/>
        </w:trPr>
        <w:tc>
          <w:tcPr>
            <w:tcW w:w="0" w:type="auto"/>
            <w:tcBorders>
              <w:top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3F06A7" w:rsidP="00A1489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w:t>
            </w:r>
            <w:r w:rsidR="00A1489A">
              <w:rPr>
                <w:rFonts w:ascii="Arial" w:hAnsi="Arial" w:cs="Arial"/>
                <w:b/>
                <w:bCs/>
                <w:color w:val="000000"/>
                <w:sz w:val="20"/>
                <w:szCs w:val="20"/>
                <w:u w:val="single"/>
                <w:lang w:val="es-MX" w:eastAsia="es-MX"/>
              </w:rPr>
              <w:t>20</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8206CE" w:rsidP="00A1489A">
            <w:pPr>
              <w:jc w:val="center"/>
              <w:rPr>
                <w:rFonts w:ascii="Arial" w:hAnsi="Arial" w:cs="Arial"/>
                <w:b/>
                <w:bCs/>
                <w:color w:val="000000"/>
                <w:sz w:val="20"/>
                <w:szCs w:val="20"/>
                <w:u w:val="single"/>
                <w:lang w:val="es-MX" w:eastAsia="es-MX"/>
              </w:rPr>
            </w:pPr>
            <w:r w:rsidRPr="00581F1F">
              <w:rPr>
                <w:rFonts w:ascii="Arial" w:hAnsi="Arial" w:cs="Arial"/>
                <w:b/>
                <w:bCs/>
                <w:color w:val="000000"/>
                <w:sz w:val="20"/>
                <w:szCs w:val="20"/>
                <w:u w:val="single"/>
                <w:lang w:val="es-MX" w:eastAsia="es-MX"/>
              </w:rPr>
              <w:t>201</w:t>
            </w:r>
            <w:r w:rsidR="00A1489A">
              <w:rPr>
                <w:rFonts w:ascii="Arial" w:hAnsi="Arial" w:cs="Arial"/>
                <w:b/>
                <w:bCs/>
                <w:color w:val="000000"/>
                <w:sz w:val="20"/>
                <w:szCs w:val="20"/>
                <w:u w:val="single"/>
                <w:lang w:val="es-MX" w:eastAsia="es-MX"/>
              </w:rPr>
              <w:t>9</w:t>
            </w:r>
          </w:p>
        </w:tc>
      </w:tr>
      <w:tr w:rsidR="00042844" w:rsidRPr="00581F1F" w:rsidTr="003F06A7">
        <w:trPr>
          <w:trHeight w:val="285"/>
        </w:trPr>
        <w:tc>
          <w:tcPr>
            <w:tcW w:w="0" w:type="auto"/>
            <w:tcBorders>
              <w:top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r w:rsidRPr="00581F1F">
              <w:rPr>
                <w:rFonts w:ascii="Arial" w:hAnsi="Arial" w:cs="Arial"/>
                <w:color w:val="000000"/>
                <w:sz w:val="20"/>
                <w:szCs w:val="20"/>
                <w:lang w:val="es-MX" w:eastAsia="es-MX"/>
              </w:rPr>
              <w:t> </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r>
      <w:tr w:rsidR="00713060" w:rsidRPr="00581F1F" w:rsidTr="003F06A7">
        <w:trPr>
          <w:trHeight w:val="285"/>
        </w:trPr>
        <w:tc>
          <w:tcPr>
            <w:tcW w:w="0" w:type="auto"/>
            <w:gridSpan w:val="4"/>
            <w:tcBorders>
              <w:top w:val="nil"/>
              <w:bottom w:val="nil"/>
              <w:right w:val="nil"/>
            </w:tcBorders>
            <w:shd w:val="clear" w:color="auto" w:fill="auto"/>
            <w:noWrap/>
            <w:vAlign w:val="bottom"/>
            <w:hideMark/>
          </w:tcPr>
          <w:p w:rsidR="00713060" w:rsidRPr="00581F1F" w:rsidRDefault="000E0C9E" w:rsidP="00713060">
            <w:pPr>
              <w:rPr>
                <w:rFonts w:ascii="Arial" w:hAnsi="Arial" w:cs="Arial"/>
                <w:color w:val="000000"/>
                <w:sz w:val="20"/>
                <w:szCs w:val="20"/>
                <w:lang w:val="es-MX" w:eastAsia="es-MX"/>
              </w:rPr>
            </w:pPr>
            <w:r>
              <w:rPr>
                <w:rFonts w:ascii="Arial" w:hAnsi="Arial" w:cs="Arial"/>
                <w:color w:val="000000"/>
                <w:sz w:val="20"/>
                <w:szCs w:val="20"/>
                <w:lang w:val="es-MX" w:eastAsia="es-MX"/>
              </w:rPr>
              <w:t>Fianzas y Garantías de Contingencia</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7A45A6">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E118D9" w:rsidRPr="00581F1F">
              <w:rPr>
                <w:rFonts w:ascii="Arial" w:hAnsi="Arial" w:cs="Arial"/>
                <w:color w:val="000000"/>
                <w:sz w:val="20"/>
                <w:szCs w:val="20"/>
                <w:lang w:val="es-MX" w:eastAsia="es-MX"/>
              </w:rPr>
              <w:t xml:space="preserve"> </w:t>
            </w:r>
            <w:r w:rsidR="007A45A6">
              <w:rPr>
                <w:rFonts w:ascii="Arial" w:hAnsi="Arial" w:cs="Arial"/>
                <w:color w:val="000000"/>
                <w:sz w:val="20"/>
                <w:szCs w:val="20"/>
                <w:lang w:val="es-MX" w:eastAsia="es-MX"/>
              </w:rPr>
              <w:t>50</w:t>
            </w:r>
            <w:r w:rsidRPr="00581F1F">
              <w:rPr>
                <w:rFonts w:ascii="Arial" w:hAnsi="Arial" w:cs="Arial"/>
                <w:color w:val="000000"/>
                <w:sz w:val="20"/>
                <w:szCs w:val="20"/>
                <w:lang w:val="es-MX" w:eastAsia="es-MX"/>
              </w:rPr>
              <w:t>,</w:t>
            </w:r>
            <w:r w:rsidR="007A45A6">
              <w:rPr>
                <w:rFonts w:ascii="Arial" w:hAnsi="Arial" w:cs="Arial"/>
                <w:color w:val="000000"/>
                <w:sz w:val="20"/>
                <w:szCs w:val="20"/>
                <w:lang w:val="es-MX" w:eastAsia="es-MX"/>
              </w:rPr>
              <w:t>585</w:t>
            </w:r>
            <w:r w:rsidRPr="00581F1F">
              <w:rPr>
                <w:rFonts w:ascii="Arial" w:hAnsi="Arial" w:cs="Arial"/>
                <w:color w:val="000000"/>
                <w:sz w:val="20"/>
                <w:szCs w:val="20"/>
                <w:lang w:val="es-MX" w:eastAsia="es-MX"/>
              </w:rPr>
              <w:t>,</w:t>
            </w:r>
            <w:r w:rsidR="00090C6E">
              <w:rPr>
                <w:rFonts w:ascii="Arial" w:hAnsi="Arial" w:cs="Arial"/>
                <w:color w:val="000000"/>
                <w:sz w:val="20"/>
                <w:szCs w:val="20"/>
                <w:lang w:val="es-MX" w:eastAsia="es-MX"/>
              </w:rPr>
              <w:t>529</w:t>
            </w:r>
            <w:r w:rsidRPr="00581F1F">
              <w:rPr>
                <w:rFonts w:ascii="Arial" w:hAnsi="Arial" w:cs="Arial"/>
                <w:color w:val="000000"/>
                <w:sz w:val="20"/>
                <w:szCs w:val="20"/>
                <w:lang w:val="es-MX" w:eastAsia="es-MX"/>
              </w:rPr>
              <w:t xml:space="preserve"> </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hideMark/>
          </w:tcPr>
          <w:p w:rsidR="00713060" w:rsidRPr="00581F1F" w:rsidRDefault="00713060" w:rsidP="00A1489A">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  </w:t>
            </w:r>
            <w:r w:rsidR="00A1489A">
              <w:rPr>
                <w:rFonts w:ascii="Arial" w:hAnsi="Arial" w:cs="Arial"/>
                <w:color w:val="000000"/>
                <w:sz w:val="20"/>
                <w:szCs w:val="20"/>
                <w:lang w:val="es-MX" w:eastAsia="es-MX"/>
              </w:rPr>
              <w:t>49</w:t>
            </w:r>
            <w:r w:rsidRPr="00581F1F">
              <w:rPr>
                <w:rFonts w:ascii="Arial" w:hAnsi="Arial" w:cs="Arial"/>
                <w:color w:val="000000"/>
                <w:sz w:val="20"/>
                <w:szCs w:val="20"/>
                <w:lang w:val="es-MX" w:eastAsia="es-MX"/>
              </w:rPr>
              <w:t>,</w:t>
            </w:r>
            <w:r w:rsidR="00A1489A">
              <w:rPr>
                <w:rFonts w:ascii="Arial" w:hAnsi="Arial" w:cs="Arial"/>
                <w:color w:val="000000"/>
                <w:sz w:val="20"/>
                <w:szCs w:val="20"/>
                <w:lang w:val="es-MX" w:eastAsia="es-MX"/>
              </w:rPr>
              <w:t>045</w:t>
            </w:r>
            <w:r w:rsidRPr="00581F1F">
              <w:rPr>
                <w:rFonts w:ascii="Arial" w:hAnsi="Arial" w:cs="Arial"/>
                <w:color w:val="000000"/>
                <w:sz w:val="20"/>
                <w:szCs w:val="20"/>
                <w:lang w:val="es-MX" w:eastAsia="es-MX"/>
              </w:rPr>
              <w:t>,</w:t>
            </w:r>
            <w:r w:rsidR="002939CD">
              <w:rPr>
                <w:rFonts w:ascii="Arial" w:hAnsi="Arial" w:cs="Arial"/>
                <w:color w:val="000000"/>
                <w:sz w:val="20"/>
                <w:szCs w:val="20"/>
                <w:lang w:val="es-MX" w:eastAsia="es-MX"/>
              </w:rPr>
              <w:t>529</w:t>
            </w:r>
            <w:r w:rsidRPr="00581F1F">
              <w:rPr>
                <w:rFonts w:ascii="Arial" w:hAnsi="Arial" w:cs="Arial"/>
                <w:color w:val="000000"/>
                <w:sz w:val="20"/>
                <w:szCs w:val="20"/>
                <w:lang w:val="es-MX" w:eastAsia="es-MX"/>
              </w:rPr>
              <w:t xml:space="preserve"> </w:t>
            </w:r>
          </w:p>
        </w:tc>
      </w:tr>
      <w:tr w:rsidR="005C09F7" w:rsidRPr="00581F1F" w:rsidTr="005C09F7">
        <w:trPr>
          <w:trHeight w:val="285"/>
        </w:trPr>
        <w:tc>
          <w:tcPr>
            <w:tcW w:w="0" w:type="auto"/>
            <w:gridSpan w:val="4"/>
            <w:tcBorders>
              <w:top w:val="nil"/>
              <w:bottom w:val="nil"/>
              <w:right w:val="nil"/>
            </w:tcBorders>
            <w:shd w:val="clear" w:color="auto" w:fill="auto"/>
            <w:noWrap/>
            <w:vAlign w:val="bottom"/>
            <w:hideMark/>
          </w:tcPr>
          <w:p w:rsidR="005C09F7" w:rsidRPr="00581F1F" w:rsidRDefault="000E0C9E" w:rsidP="0005541A">
            <w:pPr>
              <w:rPr>
                <w:rFonts w:ascii="Arial" w:hAnsi="Arial" w:cs="Arial"/>
                <w:color w:val="000000"/>
                <w:sz w:val="20"/>
                <w:szCs w:val="20"/>
                <w:lang w:val="es-MX" w:eastAsia="es-MX"/>
              </w:rPr>
            </w:pPr>
            <w:r>
              <w:rPr>
                <w:rFonts w:ascii="Arial" w:hAnsi="Arial" w:cs="Arial"/>
                <w:color w:val="000000"/>
                <w:sz w:val="20"/>
                <w:szCs w:val="20"/>
                <w:lang w:val="es-MX" w:eastAsia="es-MX"/>
              </w:rPr>
              <w:t>Castigos aplicados</w:t>
            </w:r>
          </w:p>
        </w:tc>
        <w:tc>
          <w:tcPr>
            <w:tcW w:w="0" w:type="auto"/>
            <w:tcBorders>
              <w:top w:val="nil"/>
              <w:left w:val="nil"/>
              <w:right w:val="nil"/>
            </w:tcBorders>
            <w:shd w:val="clear" w:color="auto" w:fill="auto"/>
            <w:noWrap/>
            <w:vAlign w:val="bottom"/>
            <w:hideMark/>
          </w:tcPr>
          <w:p w:rsidR="005C09F7" w:rsidRPr="00581F1F" w:rsidRDefault="005C09F7" w:rsidP="0005541A">
            <w:pPr>
              <w:rPr>
                <w:rFonts w:ascii="Arial" w:hAnsi="Arial" w:cs="Arial"/>
                <w:color w:val="000000"/>
                <w:sz w:val="20"/>
                <w:szCs w:val="20"/>
                <w:lang w:val="es-MX" w:eastAsia="es-MX"/>
              </w:rPr>
            </w:pPr>
          </w:p>
        </w:tc>
        <w:tc>
          <w:tcPr>
            <w:tcW w:w="0" w:type="auto"/>
            <w:tcBorders>
              <w:top w:val="nil"/>
              <w:left w:val="nil"/>
              <w:right w:val="nil"/>
            </w:tcBorders>
            <w:shd w:val="clear" w:color="auto" w:fill="auto"/>
            <w:noWrap/>
            <w:vAlign w:val="bottom"/>
            <w:hideMark/>
          </w:tcPr>
          <w:p w:rsidR="005C09F7" w:rsidRPr="00581F1F" w:rsidRDefault="005C09F7" w:rsidP="000E0C9E">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0E0C9E">
              <w:rPr>
                <w:rFonts w:ascii="Arial" w:hAnsi="Arial" w:cs="Arial"/>
                <w:color w:val="000000"/>
                <w:sz w:val="20"/>
                <w:szCs w:val="20"/>
                <w:lang w:val="es-MX" w:eastAsia="es-MX"/>
              </w:rPr>
              <w:t>88</w:t>
            </w:r>
            <w:r w:rsidRPr="00581F1F">
              <w:rPr>
                <w:rFonts w:ascii="Arial" w:hAnsi="Arial" w:cs="Arial"/>
                <w:color w:val="000000"/>
                <w:sz w:val="20"/>
                <w:szCs w:val="20"/>
                <w:lang w:val="es-MX" w:eastAsia="es-MX"/>
              </w:rPr>
              <w:t>,</w:t>
            </w:r>
            <w:r w:rsidR="000E0C9E">
              <w:rPr>
                <w:rFonts w:ascii="Arial" w:hAnsi="Arial" w:cs="Arial"/>
                <w:color w:val="000000"/>
                <w:sz w:val="20"/>
                <w:szCs w:val="20"/>
                <w:lang w:val="es-MX" w:eastAsia="es-MX"/>
              </w:rPr>
              <w:t>467</w:t>
            </w:r>
            <w:r w:rsidRPr="00581F1F">
              <w:rPr>
                <w:rFonts w:ascii="Arial" w:hAnsi="Arial" w:cs="Arial"/>
                <w:color w:val="000000"/>
                <w:sz w:val="20"/>
                <w:szCs w:val="20"/>
                <w:lang w:val="es-MX" w:eastAsia="es-MX"/>
              </w:rPr>
              <w:t xml:space="preserve"> </w:t>
            </w:r>
          </w:p>
        </w:tc>
        <w:tc>
          <w:tcPr>
            <w:tcW w:w="0" w:type="auto"/>
            <w:tcBorders>
              <w:top w:val="nil"/>
              <w:left w:val="nil"/>
              <w:right w:val="nil"/>
            </w:tcBorders>
            <w:shd w:val="clear" w:color="auto" w:fill="auto"/>
            <w:noWrap/>
            <w:vAlign w:val="bottom"/>
            <w:hideMark/>
          </w:tcPr>
          <w:p w:rsidR="005C09F7" w:rsidRPr="00581F1F" w:rsidRDefault="005C09F7" w:rsidP="0005541A">
            <w:pPr>
              <w:rPr>
                <w:rFonts w:ascii="Arial" w:hAnsi="Arial" w:cs="Arial"/>
                <w:color w:val="000000"/>
                <w:sz w:val="20"/>
                <w:szCs w:val="20"/>
                <w:lang w:val="es-MX" w:eastAsia="es-MX"/>
              </w:rPr>
            </w:pPr>
          </w:p>
        </w:tc>
        <w:tc>
          <w:tcPr>
            <w:tcW w:w="0" w:type="auto"/>
            <w:tcBorders>
              <w:top w:val="nil"/>
              <w:left w:val="nil"/>
              <w:right w:val="nil"/>
            </w:tcBorders>
            <w:shd w:val="clear" w:color="auto" w:fill="auto"/>
            <w:noWrap/>
            <w:vAlign w:val="bottom"/>
            <w:hideMark/>
          </w:tcPr>
          <w:p w:rsidR="005C09F7" w:rsidRPr="00581F1F" w:rsidRDefault="005C09F7" w:rsidP="00154E20">
            <w:pPr>
              <w:jc w:val="right"/>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w:t>
            </w:r>
            <w:r w:rsidR="00154E20">
              <w:rPr>
                <w:rFonts w:ascii="Arial" w:hAnsi="Arial" w:cs="Arial"/>
                <w:color w:val="000000"/>
                <w:sz w:val="20"/>
                <w:szCs w:val="20"/>
                <w:lang w:val="es-MX" w:eastAsia="es-MX"/>
              </w:rPr>
              <w:t>88,467</w:t>
            </w:r>
            <w:r w:rsidRPr="00581F1F">
              <w:rPr>
                <w:rFonts w:ascii="Arial" w:hAnsi="Arial" w:cs="Arial"/>
                <w:color w:val="000000"/>
                <w:sz w:val="20"/>
                <w:szCs w:val="20"/>
                <w:lang w:val="es-MX" w:eastAsia="es-MX"/>
              </w:rPr>
              <w:t xml:space="preserve"> </w:t>
            </w:r>
          </w:p>
        </w:tc>
      </w:tr>
      <w:tr w:rsidR="00713060" w:rsidRPr="00581F1F" w:rsidTr="005C09F7">
        <w:trPr>
          <w:trHeight w:val="285"/>
        </w:trPr>
        <w:tc>
          <w:tcPr>
            <w:tcW w:w="0" w:type="auto"/>
            <w:gridSpan w:val="5"/>
            <w:tcBorders>
              <w:top w:val="nil"/>
              <w:bottom w:val="nil"/>
              <w:right w:val="nil"/>
            </w:tcBorders>
            <w:shd w:val="clear" w:color="auto" w:fill="auto"/>
            <w:noWrap/>
            <w:vAlign w:val="bottom"/>
            <w:hideMark/>
          </w:tcPr>
          <w:p w:rsidR="00713060" w:rsidRPr="00581F1F" w:rsidRDefault="00713060" w:rsidP="00042844">
            <w:pPr>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Bienes bajo contrato de comodato – </w:t>
            </w:r>
            <w:r w:rsidR="00154E20">
              <w:rPr>
                <w:rFonts w:ascii="Arial" w:hAnsi="Arial" w:cs="Arial"/>
                <w:color w:val="000000"/>
                <w:sz w:val="20"/>
                <w:szCs w:val="20"/>
                <w:lang w:val="es-MX" w:eastAsia="es-MX"/>
              </w:rPr>
              <w:t>SAGAR</w:t>
            </w:r>
            <w:r w:rsidR="00042844">
              <w:rPr>
                <w:rFonts w:ascii="Arial" w:hAnsi="Arial" w:cs="Arial"/>
                <w:color w:val="000000"/>
                <w:sz w:val="20"/>
                <w:szCs w:val="20"/>
                <w:lang w:val="es-MX" w:eastAsia="es-MX"/>
              </w:rPr>
              <w:t>H</w:t>
            </w:r>
            <w:r w:rsidR="00154E20">
              <w:rPr>
                <w:rFonts w:ascii="Arial" w:hAnsi="Arial" w:cs="Arial"/>
                <w:color w:val="000000"/>
                <w:sz w:val="20"/>
                <w:szCs w:val="20"/>
                <w:lang w:val="es-MX" w:eastAsia="es-MX"/>
              </w:rPr>
              <w:t>PA</w:t>
            </w:r>
          </w:p>
        </w:tc>
        <w:tc>
          <w:tcPr>
            <w:tcW w:w="0" w:type="auto"/>
            <w:tcBorders>
              <w:top w:val="nil"/>
              <w:left w:val="nil"/>
              <w:bottom w:val="single" w:sz="4" w:space="0" w:color="auto"/>
              <w:right w:val="nil"/>
            </w:tcBorders>
            <w:shd w:val="clear" w:color="auto" w:fill="auto"/>
            <w:noWrap/>
            <w:vAlign w:val="bottom"/>
          </w:tcPr>
          <w:p w:rsidR="00713060" w:rsidRPr="00581F1F" w:rsidRDefault="00154E20" w:rsidP="003F06A7">
            <w:pPr>
              <w:jc w:val="right"/>
              <w:rPr>
                <w:rFonts w:ascii="Arial" w:hAnsi="Arial" w:cs="Arial"/>
                <w:color w:val="000000"/>
                <w:sz w:val="20"/>
                <w:szCs w:val="20"/>
                <w:lang w:val="es-MX" w:eastAsia="es-MX"/>
              </w:rPr>
            </w:pPr>
            <w:r>
              <w:rPr>
                <w:rFonts w:ascii="Arial" w:hAnsi="Arial" w:cs="Arial"/>
                <w:color w:val="000000"/>
                <w:sz w:val="20"/>
                <w:szCs w:val="20"/>
                <w:lang w:val="es-MX" w:eastAsia="es-MX"/>
              </w:rPr>
              <w:t>1</w:t>
            </w:r>
          </w:p>
        </w:tc>
        <w:tc>
          <w:tcPr>
            <w:tcW w:w="0" w:type="auto"/>
            <w:tcBorders>
              <w:top w:val="nil"/>
              <w:left w:val="nil"/>
              <w:bottom w:val="nil"/>
              <w:right w:val="nil"/>
            </w:tcBorders>
            <w:shd w:val="clear" w:color="auto" w:fill="auto"/>
            <w:noWrap/>
            <w:vAlign w:val="bottom"/>
            <w:hideMark/>
          </w:tcPr>
          <w:p w:rsidR="00713060" w:rsidRPr="00581F1F" w:rsidRDefault="00713060" w:rsidP="00713060">
            <w:pPr>
              <w:rPr>
                <w:rFonts w:ascii="Arial" w:hAnsi="Arial" w:cs="Arial"/>
                <w:color w:val="000000"/>
                <w:sz w:val="20"/>
                <w:szCs w:val="20"/>
                <w:lang w:val="es-MX" w:eastAsia="es-MX"/>
              </w:rPr>
            </w:pPr>
          </w:p>
        </w:tc>
        <w:tc>
          <w:tcPr>
            <w:tcW w:w="0" w:type="auto"/>
            <w:tcBorders>
              <w:left w:val="nil"/>
              <w:bottom w:val="single" w:sz="4" w:space="0" w:color="auto"/>
              <w:right w:val="nil"/>
            </w:tcBorders>
            <w:shd w:val="clear" w:color="auto" w:fill="auto"/>
            <w:noWrap/>
            <w:vAlign w:val="bottom"/>
            <w:hideMark/>
          </w:tcPr>
          <w:p w:rsidR="00713060" w:rsidRPr="00581F1F" w:rsidRDefault="00154E20" w:rsidP="00154E20">
            <w:pPr>
              <w:jc w:val="right"/>
              <w:rPr>
                <w:rFonts w:ascii="Arial" w:hAnsi="Arial" w:cs="Arial"/>
                <w:color w:val="000000"/>
                <w:sz w:val="20"/>
                <w:szCs w:val="20"/>
                <w:lang w:val="es-MX" w:eastAsia="es-MX"/>
              </w:rPr>
            </w:pPr>
            <w:r>
              <w:rPr>
                <w:rFonts w:ascii="Arial" w:hAnsi="Arial" w:cs="Arial"/>
                <w:color w:val="000000"/>
                <w:sz w:val="20"/>
                <w:szCs w:val="20"/>
                <w:lang w:val="es-MX" w:eastAsia="es-MX"/>
              </w:rPr>
              <w:t>1</w:t>
            </w:r>
            <w:r w:rsidR="00713060" w:rsidRPr="00581F1F">
              <w:rPr>
                <w:rFonts w:ascii="Arial" w:hAnsi="Arial" w:cs="Arial"/>
                <w:color w:val="000000"/>
                <w:sz w:val="20"/>
                <w:szCs w:val="20"/>
                <w:lang w:val="es-MX" w:eastAsia="es-MX"/>
              </w:rPr>
              <w:t xml:space="preserve">          </w:t>
            </w:r>
          </w:p>
        </w:tc>
      </w:tr>
      <w:tr w:rsidR="00042844" w:rsidRPr="00581F1F" w:rsidTr="005C09F7">
        <w:trPr>
          <w:trHeight w:val="315"/>
        </w:trPr>
        <w:tc>
          <w:tcPr>
            <w:tcW w:w="0" w:type="auto"/>
            <w:tcBorders>
              <w:top w:val="nil"/>
              <w:bottom w:val="nil"/>
              <w:right w:val="nil"/>
            </w:tcBorders>
            <w:shd w:val="clear" w:color="auto" w:fill="auto"/>
            <w:noWrap/>
            <w:vAlign w:val="bottom"/>
          </w:tcPr>
          <w:p w:rsidR="00E118D9" w:rsidRPr="00581F1F" w:rsidRDefault="00E118D9" w:rsidP="00E118D9">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top w:val="nil"/>
              <w:left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top w:val="nil"/>
              <w:left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top w:val="nil"/>
              <w:left w:val="nil"/>
              <w:bottom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left w:val="nil"/>
              <w:right w:val="nil"/>
            </w:tcBorders>
            <w:shd w:val="clear" w:color="auto" w:fill="auto"/>
            <w:noWrap/>
            <w:vAlign w:val="bottom"/>
          </w:tcPr>
          <w:p w:rsidR="00E118D9" w:rsidRPr="00581F1F" w:rsidRDefault="007A45A6" w:rsidP="007A45A6">
            <w:pPr>
              <w:jc w:val="right"/>
              <w:rPr>
                <w:rFonts w:ascii="Arial" w:hAnsi="Arial" w:cs="Arial"/>
                <w:bCs/>
                <w:color w:val="000000"/>
                <w:sz w:val="20"/>
                <w:szCs w:val="20"/>
                <w:lang w:val="es-MX" w:eastAsia="es-MX"/>
              </w:rPr>
            </w:pPr>
            <w:r>
              <w:rPr>
                <w:rFonts w:ascii="Arial" w:hAnsi="Arial" w:cs="Arial"/>
                <w:bCs/>
                <w:color w:val="000000"/>
                <w:sz w:val="20"/>
                <w:szCs w:val="20"/>
                <w:lang w:val="es-MX" w:eastAsia="es-MX"/>
              </w:rPr>
              <w:t>50</w:t>
            </w:r>
            <w:r w:rsidR="00E118D9" w:rsidRPr="00581F1F">
              <w:rPr>
                <w:rFonts w:ascii="Arial" w:hAnsi="Arial" w:cs="Arial"/>
                <w:bCs/>
                <w:color w:val="000000"/>
                <w:sz w:val="20"/>
                <w:szCs w:val="20"/>
                <w:lang w:val="es-MX" w:eastAsia="es-MX"/>
              </w:rPr>
              <w:t>,</w:t>
            </w:r>
            <w:r>
              <w:rPr>
                <w:rFonts w:ascii="Arial" w:hAnsi="Arial" w:cs="Arial"/>
                <w:bCs/>
                <w:color w:val="000000"/>
                <w:sz w:val="20"/>
                <w:szCs w:val="20"/>
                <w:lang w:val="es-MX" w:eastAsia="es-MX"/>
              </w:rPr>
              <w:t>673</w:t>
            </w:r>
            <w:r w:rsidR="00E118D9" w:rsidRPr="00581F1F">
              <w:rPr>
                <w:rFonts w:ascii="Arial" w:hAnsi="Arial" w:cs="Arial"/>
                <w:bCs/>
                <w:color w:val="000000"/>
                <w:sz w:val="20"/>
                <w:szCs w:val="20"/>
                <w:lang w:val="es-MX" w:eastAsia="es-MX"/>
              </w:rPr>
              <w:t>,</w:t>
            </w:r>
            <w:r w:rsidR="00EE3828">
              <w:rPr>
                <w:rFonts w:ascii="Arial" w:hAnsi="Arial" w:cs="Arial"/>
                <w:bCs/>
                <w:color w:val="000000"/>
                <w:sz w:val="20"/>
                <w:szCs w:val="20"/>
                <w:lang w:val="es-MX" w:eastAsia="es-MX"/>
              </w:rPr>
              <w:t>997</w:t>
            </w:r>
          </w:p>
        </w:tc>
        <w:tc>
          <w:tcPr>
            <w:tcW w:w="0" w:type="auto"/>
            <w:tcBorders>
              <w:left w:val="nil"/>
              <w:right w:val="nil"/>
            </w:tcBorders>
            <w:shd w:val="clear" w:color="auto" w:fill="auto"/>
            <w:noWrap/>
            <w:vAlign w:val="bottom"/>
          </w:tcPr>
          <w:p w:rsidR="00E118D9" w:rsidRPr="00581F1F" w:rsidRDefault="00E118D9" w:rsidP="00713060">
            <w:pPr>
              <w:rPr>
                <w:rFonts w:ascii="Arial" w:hAnsi="Arial" w:cs="Arial"/>
                <w:color w:val="000000"/>
                <w:sz w:val="20"/>
                <w:szCs w:val="20"/>
                <w:lang w:val="es-MX" w:eastAsia="es-MX"/>
              </w:rPr>
            </w:pPr>
          </w:p>
        </w:tc>
        <w:tc>
          <w:tcPr>
            <w:tcW w:w="0" w:type="auto"/>
            <w:tcBorders>
              <w:left w:val="nil"/>
              <w:right w:val="nil"/>
            </w:tcBorders>
            <w:shd w:val="clear" w:color="auto" w:fill="auto"/>
            <w:noWrap/>
            <w:vAlign w:val="bottom"/>
          </w:tcPr>
          <w:p w:rsidR="00E118D9" w:rsidRPr="00581F1F" w:rsidRDefault="00A1489A" w:rsidP="00A1489A">
            <w:pPr>
              <w:jc w:val="right"/>
              <w:rPr>
                <w:rFonts w:ascii="Arial" w:hAnsi="Arial" w:cs="Arial"/>
                <w:bCs/>
                <w:color w:val="000000"/>
                <w:sz w:val="20"/>
                <w:szCs w:val="20"/>
                <w:lang w:val="es-MX" w:eastAsia="es-MX"/>
              </w:rPr>
            </w:pPr>
            <w:r>
              <w:rPr>
                <w:rFonts w:ascii="Arial" w:hAnsi="Arial" w:cs="Arial"/>
                <w:bCs/>
                <w:color w:val="000000"/>
                <w:sz w:val="20"/>
                <w:szCs w:val="20"/>
                <w:lang w:val="es-MX" w:eastAsia="es-MX"/>
              </w:rPr>
              <w:t>49</w:t>
            </w:r>
            <w:r w:rsidR="00E118D9" w:rsidRPr="00581F1F">
              <w:rPr>
                <w:rFonts w:ascii="Arial" w:hAnsi="Arial" w:cs="Arial"/>
                <w:bCs/>
                <w:color w:val="000000"/>
                <w:sz w:val="20"/>
                <w:szCs w:val="20"/>
                <w:lang w:val="es-MX" w:eastAsia="es-MX"/>
              </w:rPr>
              <w:t>,</w:t>
            </w:r>
            <w:r>
              <w:rPr>
                <w:rFonts w:ascii="Arial" w:hAnsi="Arial" w:cs="Arial"/>
                <w:bCs/>
                <w:color w:val="000000"/>
                <w:sz w:val="20"/>
                <w:szCs w:val="20"/>
                <w:lang w:val="es-MX" w:eastAsia="es-MX"/>
              </w:rPr>
              <w:t>133</w:t>
            </w:r>
            <w:r w:rsidR="00E118D9" w:rsidRPr="00581F1F">
              <w:rPr>
                <w:rFonts w:ascii="Arial" w:hAnsi="Arial" w:cs="Arial"/>
                <w:bCs/>
                <w:color w:val="000000"/>
                <w:sz w:val="20"/>
                <w:szCs w:val="20"/>
                <w:lang w:val="es-MX" w:eastAsia="es-MX"/>
              </w:rPr>
              <w:t>,</w:t>
            </w:r>
            <w:r w:rsidR="00EE3828">
              <w:rPr>
                <w:rFonts w:ascii="Arial" w:hAnsi="Arial" w:cs="Arial"/>
                <w:bCs/>
                <w:color w:val="000000"/>
                <w:sz w:val="20"/>
                <w:szCs w:val="20"/>
                <w:lang w:val="es-MX" w:eastAsia="es-MX"/>
              </w:rPr>
              <w:t>997</w:t>
            </w:r>
          </w:p>
        </w:tc>
      </w:tr>
    </w:tbl>
    <w:p w:rsidR="00180430" w:rsidRDefault="00180430" w:rsidP="00713060">
      <w:pPr>
        <w:pStyle w:val="Default"/>
        <w:jc w:val="both"/>
        <w:rPr>
          <w:sz w:val="20"/>
          <w:szCs w:val="20"/>
        </w:rPr>
      </w:pPr>
    </w:p>
    <w:p w:rsidR="00631B78" w:rsidRDefault="00631B78" w:rsidP="00631B78">
      <w:pPr>
        <w:pStyle w:val="Default"/>
        <w:ind w:left="720"/>
        <w:jc w:val="both"/>
        <w:rPr>
          <w:b/>
          <w:sz w:val="20"/>
          <w:szCs w:val="20"/>
        </w:rPr>
      </w:pPr>
    </w:p>
    <w:p w:rsidR="00631B78" w:rsidRDefault="00631B78" w:rsidP="00631B78">
      <w:pPr>
        <w:pStyle w:val="Default"/>
        <w:ind w:left="720"/>
        <w:jc w:val="both"/>
        <w:rPr>
          <w:b/>
          <w:sz w:val="20"/>
          <w:szCs w:val="20"/>
        </w:rPr>
      </w:pPr>
    </w:p>
    <w:p w:rsidR="00713060" w:rsidRPr="00581F1F" w:rsidRDefault="00713060" w:rsidP="00EC7D31">
      <w:pPr>
        <w:pStyle w:val="Default"/>
        <w:numPr>
          <w:ilvl w:val="0"/>
          <w:numId w:val="24"/>
        </w:numPr>
        <w:jc w:val="both"/>
        <w:rPr>
          <w:b/>
          <w:sz w:val="20"/>
          <w:szCs w:val="20"/>
        </w:rPr>
      </w:pPr>
      <w:r w:rsidRPr="00581F1F">
        <w:rPr>
          <w:b/>
          <w:sz w:val="20"/>
          <w:szCs w:val="20"/>
        </w:rPr>
        <w:t>Notas de Gestión Administrativa</w:t>
      </w:r>
    </w:p>
    <w:p w:rsidR="00713060" w:rsidRPr="00581F1F" w:rsidRDefault="00713060" w:rsidP="00713060">
      <w:pPr>
        <w:pStyle w:val="Default"/>
        <w:jc w:val="both"/>
        <w:rPr>
          <w:sz w:val="20"/>
          <w:szCs w:val="20"/>
        </w:rPr>
      </w:pPr>
    </w:p>
    <w:p w:rsidR="00713060" w:rsidRPr="00581F1F" w:rsidRDefault="00713060" w:rsidP="00713060">
      <w:pPr>
        <w:pStyle w:val="Default"/>
        <w:numPr>
          <w:ilvl w:val="0"/>
          <w:numId w:val="31"/>
        </w:numPr>
        <w:jc w:val="both"/>
        <w:rPr>
          <w:b/>
          <w:sz w:val="20"/>
          <w:szCs w:val="20"/>
          <w:u w:val="single"/>
        </w:rPr>
      </w:pPr>
      <w:r w:rsidRPr="00581F1F">
        <w:rPr>
          <w:b/>
          <w:sz w:val="20"/>
          <w:szCs w:val="20"/>
          <w:u w:val="single"/>
        </w:rPr>
        <w:t>Introducción</w:t>
      </w:r>
    </w:p>
    <w:p w:rsidR="00713060" w:rsidRPr="00581F1F" w:rsidRDefault="00713060" w:rsidP="00713060">
      <w:pPr>
        <w:pStyle w:val="Default"/>
        <w:jc w:val="both"/>
        <w:rPr>
          <w:sz w:val="20"/>
          <w:szCs w:val="20"/>
        </w:rPr>
      </w:pPr>
      <w:r w:rsidRPr="00581F1F">
        <w:rPr>
          <w:sz w:val="20"/>
          <w:szCs w:val="20"/>
        </w:rPr>
        <w:t>Los Estados Financieros se conforman con la información resultante de las operaciones derivadas de la recaudación de los ingresos presupuestarios; el ejercicio del gasto; el manejo y custodia de los recursos propiedad de la Entidad o a su cuidado; así como todas aquellas operaciones contables que modifiquen el Patrimonio.</w:t>
      </w:r>
    </w:p>
    <w:p w:rsidR="007E372B" w:rsidRPr="00581F1F" w:rsidRDefault="007E372B" w:rsidP="00713060">
      <w:pPr>
        <w:pStyle w:val="Default"/>
        <w:jc w:val="both"/>
        <w:rPr>
          <w:sz w:val="20"/>
          <w:szCs w:val="20"/>
        </w:rPr>
      </w:pPr>
    </w:p>
    <w:p w:rsidR="00713060" w:rsidRPr="00420C82" w:rsidRDefault="00713060" w:rsidP="00713060">
      <w:pPr>
        <w:pStyle w:val="Default"/>
        <w:numPr>
          <w:ilvl w:val="0"/>
          <w:numId w:val="31"/>
        </w:numPr>
        <w:jc w:val="both"/>
        <w:rPr>
          <w:b/>
          <w:sz w:val="20"/>
          <w:szCs w:val="20"/>
          <w:u w:val="single"/>
        </w:rPr>
      </w:pPr>
      <w:r w:rsidRPr="00420C82">
        <w:rPr>
          <w:b/>
          <w:sz w:val="20"/>
          <w:szCs w:val="20"/>
          <w:u w:val="single"/>
        </w:rPr>
        <w:t>Panorama Económico y Financiero</w:t>
      </w:r>
    </w:p>
    <w:p w:rsidR="00903793" w:rsidRDefault="00903793" w:rsidP="00903793">
      <w:pPr>
        <w:pStyle w:val="Default"/>
        <w:jc w:val="both"/>
        <w:rPr>
          <w:b/>
          <w:sz w:val="20"/>
          <w:szCs w:val="20"/>
          <w:u w:val="single"/>
        </w:rPr>
      </w:pPr>
    </w:p>
    <w:p w:rsidR="00394D00" w:rsidRPr="00394D00" w:rsidRDefault="00394D00" w:rsidP="00394D00">
      <w:pPr>
        <w:pStyle w:val="Default"/>
        <w:jc w:val="both"/>
        <w:rPr>
          <w:sz w:val="20"/>
          <w:szCs w:val="20"/>
        </w:rPr>
      </w:pPr>
      <w:r w:rsidRPr="00394D00">
        <w:rPr>
          <w:sz w:val="20"/>
          <w:szCs w:val="20"/>
        </w:rPr>
        <w:t>La Secretaría de Hacienda y Crédito Público (SHCP) entregó al Congreso de la Unión</w:t>
      </w:r>
      <w:r w:rsidRPr="00394D00">
        <w:rPr>
          <w:b/>
          <w:bCs/>
          <w:sz w:val="20"/>
          <w:szCs w:val="20"/>
        </w:rPr>
        <w:t> las perspectivas económicas de finanzas públicas para el cierre del 2020, bajo el nombre de “Pre-Criterios 2021”</w:t>
      </w:r>
      <w:r w:rsidRPr="00394D00">
        <w:rPr>
          <w:sz w:val="20"/>
          <w:szCs w:val="20"/>
        </w:rPr>
        <w:t>. El objetivo es mitigar las consecuencias de la pandemia en ese sector que, de acuerdo con el pronóstico de la dependencia,</w:t>
      </w:r>
      <w:r w:rsidRPr="00394D00">
        <w:rPr>
          <w:b/>
          <w:bCs/>
          <w:sz w:val="20"/>
          <w:szCs w:val="20"/>
        </w:rPr>
        <w:t> el crecimiento del Producto Interno Bruto para el 2020 será entre -3.9 y 0.1%.</w:t>
      </w:r>
    </w:p>
    <w:p w:rsidR="00394D00" w:rsidRPr="00394D00" w:rsidRDefault="00394D00" w:rsidP="00394D00">
      <w:pPr>
        <w:pStyle w:val="Default"/>
        <w:jc w:val="both"/>
        <w:rPr>
          <w:sz w:val="20"/>
          <w:szCs w:val="20"/>
        </w:rPr>
      </w:pPr>
      <w:r w:rsidRPr="00394D00">
        <w:rPr>
          <w:sz w:val="20"/>
          <w:szCs w:val="20"/>
        </w:rPr>
        <w:t>Por otro lado, </w:t>
      </w:r>
      <w:r w:rsidRPr="00394D00">
        <w:rPr>
          <w:b/>
          <w:bCs/>
          <w:sz w:val="20"/>
          <w:szCs w:val="20"/>
        </w:rPr>
        <w:t>las finanzas públicas de 2020</w:t>
      </w:r>
      <w:r w:rsidRPr="00394D00">
        <w:rPr>
          <w:sz w:val="20"/>
          <w:szCs w:val="20"/>
        </w:rPr>
        <w:t>, considerando el nivel de riesgo de la pandemia,</w:t>
      </w:r>
      <w:r w:rsidRPr="00394D00">
        <w:rPr>
          <w:b/>
          <w:bCs/>
          <w:sz w:val="20"/>
          <w:szCs w:val="20"/>
        </w:rPr>
        <w:t> aumentarían los Requerimientos Financieros del Sector Público (RFSP) 4.4% del Producto Interno Bruto (PIB)</w:t>
      </w:r>
      <w:r w:rsidRPr="00394D00">
        <w:rPr>
          <w:sz w:val="20"/>
          <w:szCs w:val="20"/>
        </w:rPr>
        <w:t>; el balance</w:t>
      </w:r>
      <w:r w:rsidRPr="00394D00">
        <w:rPr>
          <w:b/>
          <w:bCs/>
          <w:sz w:val="20"/>
          <w:szCs w:val="20"/>
        </w:rPr>
        <w:t> público</w:t>
      </w:r>
      <w:r w:rsidRPr="00394D00">
        <w:rPr>
          <w:sz w:val="20"/>
          <w:szCs w:val="20"/>
        </w:rPr>
        <w:t> registrará </w:t>
      </w:r>
      <w:r w:rsidRPr="00394D00">
        <w:rPr>
          <w:b/>
          <w:bCs/>
          <w:sz w:val="20"/>
          <w:szCs w:val="20"/>
        </w:rPr>
        <w:t>un déficit del 3.3% </w:t>
      </w:r>
      <w:r w:rsidRPr="00394D00">
        <w:rPr>
          <w:sz w:val="20"/>
          <w:szCs w:val="20"/>
        </w:rPr>
        <w:t>y el balance </w:t>
      </w:r>
      <w:r w:rsidRPr="00394D00">
        <w:rPr>
          <w:b/>
          <w:bCs/>
          <w:sz w:val="20"/>
          <w:szCs w:val="20"/>
        </w:rPr>
        <w:t>primario </w:t>
      </w:r>
      <w:r w:rsidRPr="00394D00">
        <w:rPr>
          <w:sz w:val="20"/>
          <w:szCs w:val="20"/>
        </w:rPr>
        <w:t>será del </w:t>
      </w:r>
      <w:r w:rsidRPr="00394D00">
        <w:rPr>
          <w:b/>
          <w:bCs/>
          <w:sz w:val="20"/>
          <w:szCs w:val="20"/>
        </w:rPr>
        <w:t>-0.4%.</w:t>
      </w:r>
    </w:p>
    <w:p w:rsidR="00903793" w:rsidRPr="00581F1F" w:rsidRDefault="00903793" w:rsidP="00903793">
      <w:pPr>
        <w:pStyle w:val="Default"/>
        <w:jc w:val="both"/>
        <w:rPr>
          <w:b/>
          <w:sz w:val="20"/>
          <w:szCs w:val="20"/>
          <w:u w:val="single"/>
        </w:rPr>
      </w:pPr>
    </w:p>
    <w:p w:rsidR="00713060" w:rsidRPr="00581F1F" w:rsidRDefault="00713060" w:rsidP="00713060">
      <w:pPr>
        <w:pStyle w:val="Default"/>
        <w:numPr>
          <w:ilvl w:val="0"/>
          <w:numId w:val="31"/>
        </w:numPr>
        <w:jc w:val="both"/>
        <w:rPr>
          <w:b/>
          <w:sz w:val="20"/>
          <w:szCs w:val="20"/>
          <w:u w:val="single"/>
        </w:rPr>
      </w:pPr>
      <w:r w:rsidRPr="00581F1F">
        <w:rPr>
          <w:b/>
          <w:sz w:val="20"/>
          <w:szCs w:val="20"/>
          <w:u w:val="single"/>
        </w:rPr>
        <w:t>Autorización e Historia</w:t>
      </w:r>
    </w:p>
    <w:p w:rsidR="00042844" w:rsidRPr="00042844" w:rsidRDefault="00042844" w:rsidP="00042844">
      <w:pPr>
        <w:jc w:val="both"/>
        <w:rPr>
          <w:rFonts w:ascii="Arial" w:hAnsi="Arial" w:cs="Arial"/>
          <w:sz w:val="20"/>
          <w:szCs w:val="20"/>
        </w:rPr>
      </w:pPr>
      <w:r w:rsidRPr="00042844">
        <w:rPr>
          <w:rFonts w:ascii="Arial" w:hAnsi="Arial" w:cs="Arial"/>
          <w:sz w:val="20"/>
          <w:szCs w:val="20"/>
        </w:rPr>
        <w:t>El Fideicomiso Maestro para el Financiamiento del Sector Agropecuario en Sonora se crea como entidad de la Administración Pública Paraestatal del Gobierno de Sonora, mediante decreto número 42, tomo CLXVII, publicado en el Boletín Oficial del Estado de Sonora el 24 de mayo del año 20</w:t>
      </w:r>
      <w:r w:rsidR="00772B68">
        <w:rPr>
          <w:rFonts w:ascii="Arial" w:hAnsi="Arial" w:cs="Arial"/>
          <w:sz w:val="20"/>
          <w:szCs w:val="20"/>
        </w:rPr>
        <w:t>0</w:t>
      </w:r>
      <w:r w:rsidRPr="00042844">
        <w:rPr>
          <w:rFonts w:ascii="Arial" w:hAnsi="Arial" w:cs="Arial"/>
          <w:sz w:val="20"/>
          <w:szCs w:val="20"/>
        </w:rPr>
        <w:t>1.</w:t>
      </w:r>
    </w:p>
    <w:p w:rsidR="00042844" w:rsidRPr="00042844" w:rsidRDefault="00042844" w:rsidP="00042844">
      <w:pPr>
        <w:jc w:val="both"/>
        <w:rPr>
          <w:rFonts w:ascii="Arial" w:hAnsi="Arial" w:cs="Arial"/>
          <w:sz w:val="20"/>
          <w:szCs w:val="20"/>
        </w:rPr>
      </w:pPr>
    </w:p>
    <w:p w:rsidR="00042844" w:rsidRPr="00042844" w:rsidRDefault="00042844" w:rsidP="00042844">
      <w:pPr>
        <w:jc w:val="both"/>
        <w:rPr>
          <w:rFonts w:ascii="Arial" w:hAnsi="Arial" w:cs="Arial"/>
          <w:sz w:val="20"/>
          <w:szCs w:val="20"/>
        </w:rPr>
      </w:pPr>
      <w:r w:rsidRPr="00042844">
        <w:rPr>
          <w:rFonts w:ascii="Arial" w:hAnsi="Arial" w:cs="Arial"/>
          <w:sz w:val="20"/>
          <w:szCs w:val="20"/>
        </w:rPr>
        <w:t>El fideicomiso fue sectorizado a la Secretaría de Agricultura, Ganadería, Recursos Hidráulicos, Pesca y Acuacultura según el Acuerdo de Agrupamiento de Entidades del 2011.</w:t>
      </w:r>
    </w:p>
    <w:p w:rsidR="00042844" w:rsidRPr="00042844" w:rsidRDefault="00042844" w:rsidP="00042844">
      <w:pPr>
        <w:jc w:val="both"/>
        <w:rPr>
          <w:rFonts w:ascii="Arial" w:hAnsi="Arial" w:cs="Arial"/>
          <w:sz w:val="20"/>
          <w:szCs w:val="20"/>
        </w:rPr>
      </w:pPr>
    </w:p>
    <w:p w:rsidR="00042844" w:rsidRPr="00042844" w:rsidRDefault="00042844" w:rsidP="00042844">
      <w:pPr>
        <w:jc w:val="both"/>
        <w:rPr>
          <w:rFonts w:ascii="Arial" w:hAnsi="Arial" w:cs="Arial"/>
          <w:sz w:val="20"/>
          <w:szCs w:val="20"/>
        </w:rPr>
      </w:pPr>
      <w:r w:rsidRPr="00042844">
        <w:rPr>
          <w:rFonts w:ascii="Arial" w:hAnsi="Arial" w:cs="Arial"/>
          <w:sz w:val="20"/>
          <w:szCs w:val="20"/>
        </w:rPr>
        <w:t>Es un Fideicomiso Público, celebrado mediante contrato el 28 de mayo de 2001, entre el Gobierno del Estado de Sonora, en su carácter de Fideicomitente, Nacional Financiera, SNC. Como Fiduciaria.</w:t>
      </w:r>
    </w:p>
    <w:p w:rsidR="00042844" w:rsidRPr="00042844" w:rsidRDefault="00042844" w:rsidP="00042844">
      <w:pPr>
        <w:jc w:val="both"/>
        <w:rPr>
          <w:rFonts w:ascii="Arial" w:hAnsi="Arial" w:cs="Arial"/>
          <w:sz w:val="20"/>
          <w:szCs w:val="20"/>
        </w:rPr>
      </w:pPr>
      <w:r w:rsidRPr="00042844">
        <w:rPr>
          <w:rFonts w:ascii="Arial" w:hAnsi="Arial" w:cs="Arial"/>
          <w:sz w:val="20"/>
          <w:szCs w:val="20"/>
        </w:rPr>
        <w:t xml:space="preserve"> </w:t>
      </w:r>
    </w:p>
    <w:p w:rsidR="00713060" w:rsidRPr="00581F1F" w:rsidRDefault="00713060" w:rsidP="00713060">
      <w:pPr>
        <w:pStyle w:val="Default"/>
        <w:jc w:val="both"/>
        <w:rPr>
          <w:sz w:val="20"/>
          <w:szCs w:val="20"/>
        </w:rPr>
      </w:pPr>
    </w:p>
    <w:p w:rsidR="00713060" w:rsidRPr="00581F1F" w:rsidRDefault="00713060" w:rsidP="00713060">
      <w:pPr>
        <w:pStyle w:val="Default"/>
        <w:numPr>
          <w:ilvl w:val="0"/>
          <w:numId w:val="31"/>
        </w:numPr>
        <w:jc w:val="both"/>
        <w:rPr>
          <w:b/>
          <w:sz w:val="20"/>
          <w:szCs w:val="20"/>
          <w:u w:val="single"/>
        </w:rPr>
      </w:pPr>
      <w:r w:rsidRPr="00581F1F">
        <w:rPr>
          <w:b/>
          <w:sz w:val="20"/>
          <w:szCs w:val="20"/>
          <w:u w:val="single"/>
        </w:rPr>
        <w:t>Organización y Objeto Social</w:t>
      </w:r>
    </w:p>
    <w:p w:rsidR="00DE67C5" w:rsidRDefault="00713060" w:rsidP="00DE67C5">
      <w:pPr>
        <w:jc w:val="both"/>
        <w:rPr>
          <w:rFonts w:ascii="Arial" w:hAnsi="Arial" w:cs="Arial"/>
          <w:sz w:val="20"/>
          <w:szCs w:val="20"/>
        </w:rPr>
      </w:pPr>
      <w:r w:rsidRPr="00DE67C5">
        <w:rPr>
          <w:sz w:val="20"/>
          <w:szCs w:val="20"/>
          <w:u w:val="single"/>
        </w:rPr>
        <w:t>Objeto social</w:t>
      </w:r>
      <w:r w:rsidRPr="00DE67C5">
        <w:rPr>
          <w:sz w:val="20"/>
          <w:szCs w:val="20"/>
        </w:rPr>
        <w:t>:</w:t>
      </w:r>
      <w:r w:rsidR="00DE67C5" w:rsidRPr="00DE67C5">
        <w:rPr>
          <w:rFonts w:ascii="Arial" w:hAnsi="Arial" w:cs="Arial"/>
          <w:sz w:val="20"/>
          <w:szCs w:val="20"/>
        </w:rPr>
        <w:t xml:space="preserve"> </w:t>
      </w:r>
      <w:r w:rsidR="00DE67C5" w:rsidRPr="00042844">
        <w:rPr>
          <w:rFonts w:ascii="Arial" w:hAnsi="Arial" w:cs="Arial"/>
          <w:sz w:val="20"/>
          <w:szCs w:val="20"/>
        </w:rPr>
        <w:t>AGROSON  tiene como objeto primordial constituir un mecanismo a través del cual se administren los recursos  que integren su patrimonio</w:t>
      </w:r>
      <w:r w:rsidR="00772B68">
        <w:rPr>
          <w:rFonts w:ascii="Arial" w:hAnsi="Arial" w:cs="Arial"/>
          <w:sz w:val="20"/>
          <w:szCs w:val="20"/>
        </w:rPr>
        <w:t>,</w:t>
      </w:r>
      <w:r w:rsidR="00DE67C5">
        <w:rPr>
          <w:rFonts w:ascii="Arial" w:hAnsi="Arial" w:cs="Arial"/>
          <w:sz w:val="20"/>
          <w:szCs w:val="20"/>
        </w:rPr>
        <w:t xml:space="preserve"> </w:t>
      </w:r>
      <w:r w:rsidR="00772B68">
        <w:rPr>
          <w:rFonts w:ascii="Arial" w:hAnsi="Arial" w:cs="Arial"/>
          <w:sz w:val="20"/>
          <w:szCs w:val="20"/>
        </w:rPr>
        <w:t>para</w:t>
      </w:r>
      <w:r w:rsidR="00DE67C5">
        <w:rPr>
          <w:rFonts w:ascii="Arial" w:hAnsi="Arial" w:cs="Arial"/>
          <w:sz w:val="20"/>
          <w:szCs w:val="20"/>
        </w:rPr>
        <w:t xml:space="preserve"> el otorgamiento de garantías al sector agropecuario sonorense. </w:t>
      </w:r>
    </w:p>
    <w:p w:rsidR="00DE67C5" w:rsidRPr="00042844" w:rsidRDefault="00DE67C5" w:rsidP="00DE67C5">
      <w:pPr>
        <w:jc w:val="both"/>
        <w:rPr>
          <w:rFonts w:ascii="Arial" w:hAnsi="Arial" w:cs="Arial"/>
          <w:sz w:val="20"/>
          <w:szCs w:val="20"/>
        </w:rPr>
      </w:pPr>
      <w:r w:rsidRPr="00042844">
        <w:rPr>
          <w:rFonts w:ascii="Arial" w:hAnsi="Arial" w:cs="Arial"/>
          <w:sz w:val="20"/>
          <w:szCs w:val="20"/>
        </w:rPr>
        <w:t xml:space="preserve"> </w:t>
      </w:r>
    </w:p>
    <w:p w:rsidR="00713060" w:rsidRDefault="00713060" w:rsidP="001A2F8A">
      <w:pPr>
        <w:pStyle w:val="Default"/>
        <w:numPr>
          <w:ilvl w:val="0"/>
          <w:numId w:val="32"/>
        </w:numPr>
        <w:jc w:val="both"/>
        <w:rPr>
          <w:sz w:val="20"/>
          <w:szCs w:val="20"/>
        </w:rPr>
      </w:pPr>
      <w:r w:rsidRPr="00DE67C5">
        <w:rPr>
          <w:sz w:val="20"/>
          <w:szCs w:val="20"/>
        </w:rPr>
        <w:t xml:space="preserve"> </w:t>
      </w:r>
      <w:r w:rsidRPr="00DE67C5">
        <w:rPr>
          <w:sz w:val="20"/>
          <w:szCs w:val="20"/>
          <w:u w:val="single"/>
        </w:rPr>
        <w:t>Principales actividades</w:t>
      </w:r>
      <w:r w:rsidRPr="00DE67C5">
        <w:rPr>
          <w:sz w:val="20"/>
          <w:szCs w:val="20"/>
        </w:rPr>
        <w:t>:</w:t>
      </w:r>
    </w:p>
    <w:p w:rsidR="00FF6982" w:rsidRDefault="00FF6982" w:rsidP="00FF6982">
      <w:pPr>
        <w:pStyle w:val="Default"/>
        <w:jc w:val="both"/>
        <w:rPr>
          <w:sz w:val="20"/>
          <w:szCs w:val="20"/>
        </w:rPr>
      </w:pPr>
    </w:p>
    <w:tbl>
      <w:tblPr>
        <w:tblW w:w="0" w:type="auto"/>
        <w:tblInd w:w="354" w:type="dxa"/>
        <w:tblCellMar>
          <w:left w:w="70" w:type="dxa"/>
          <w:right w:w="70" w:type="dxa"/>
        </w:tblCellMar>
        <w:tblLook w:val="04A0" w:firstRow="1" w:lastRow="0" w:firstColumn="1" w:lastColumn="0" w:noHBand="0" w:noVBand="1"/>
      </w:tblPr>
      <w:tblGrid>
        <w:gridCol w:w="10112"/>
      </w:tblGrid>
      <w:tr w:rsidR="00713060" w:rsidRPr="00581F1F" w:rsidTr="00EC7D31">
        <w:trPr>
          <w:trHeight w:val="285"/>
        </w:trPr>
        <w:tc>
          <w:tcPr>
            <w:tcW w:w="0" w:type="auto"/>
            <w:shd w:val="clear" w:color="auto" w:fill="auto"/>
            <w:noWrap/>
            <w:vAlign w:val="bottom"/>
            <w:hideMark/>
          </w:tcPr>
          <w:p w:rsidR="00713060" w:rsidRDefault="00713060" w:rsidP="00772B68">
            <w:pPr>
              <w:jc w:val="both"/>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Fungir como agente </w:t>
            </w:r>
            <w:r w:rsidR="00FF6982">
              <w:rPr>
                <w:rFonts w:ascii="Arial" w:hAnsi="Arial" w:cs="Arial"/>
                <w:color w:val="000000"/>
                <w:sz w:val="20"/>
                <w:szCs w:val="20"/>
                <w:lang w:val="es-MX" w:eastAsia="es-MX"/>
              </w:rPr>
              <w:t>detonador del sector agropecuario en sonora, mediante el otorgamiento de garantías líquidas y de contingencia.</w:t>
            </w:r>
          </w:p>
          <w:p w:rsidR="00772B68" w:rsidRPr="00581F1F" w:rsidRDefault="00772B68" w:rsidP="00772B68">
            <w:pPr>
              <w:jc w:val="both"/>
              <w:rPr>
                <w:rFonts w:ascii="Arial" w:hAnsi="Arial" w:cs="Arial"/>
                <w:color w:val="000000"/>
                <w:sz w:val="20"/>
                <w:szCs w:val="20"/>
                <w:lang w:val="es-MX" w:eastAsia="es-MX"/>
              </w:rPr>
            </w:pPr>
          </w:p>
        </w:tc>
      </w:tr>
      <w:tr w:rsidR="00713060" w:rsidRPr="00581F1F" w:rsidTr="00EC7D31">
        <w:trPr>
          <w:trHeight w:val="570"/>
        </w:trPr>
        <w:tc>
          <w:tcPr>
            <w:tcW w:w="0" w:type="auto"/>
            <w:shd w:val="clear" w:color="auto" w:fill="auto"/>
            <w:noWrap/>
            <w:vAlign w:val="bottom"/>
            <w:hideMark/>
          </w:tcPr>
          <w:p w:rsidR="00FF6982" w:rsidRDefault="00713060" w:rsidP="00772B68">
            <w:pPr>
              <w:jc w:val="both"/>
              <w:rPr>
                <w:rFonts w:ascii="Arial" w:hAnsi="Arial" w:cs="Arial"/>
                <w:color w:val="000000"/>
                <w:sz w:val="20"/>
                <w:szCs w:val="20"/>
                <w:lang w:val="es-MX" w:eastAsia="es-MX"/>
              </w:rPr>
            </w:pPr>
            <w:r w:rsidRPr="00581F1F">
              <w:rPr>
                <w:rFonts w:ascii="Arial" w:hAnsi="Arial" w:cs="Arial"/>
                <w:color w:val="000000"/>
                <w:sz w:val="20"/>
                <w:szCs w:val="20"/>
                <w:lang w:val="es-MX" w:eastAsia="es-MX"/>
              </w:rPr>
              <w:lastRenderedPageBreak/>
              <w:t xml:space="preserve">- Recibir, administrar y enajenar los bienes, derechos, valores y demás activos que </w:t>
            </w:r>
            <w:r w:rsidR="00FF6982">
              <w:rPr>
                <w:rFonts w:ascii="Arial" w:hAnsi="Arial" w:cs="Arial"/>
                <w:color w:val="000000"/>
                <w:sz w:val="20"/>
                <w:szCs w:val="20"/>
                <w:lang w:val="es-MX" w:eastAsia="es-MX"/>
              </w:rPr>
              <w:t>reciba como dación o adjudicación de pago.</w:t>
            </w:r>
          </w:p>
          <w:p w:rsidR="00772B68" w:rsidRPr="00581F1F" w:rsidRDefault="00772B68" w:rsidP="00772B68">
            <w:pPr>
              <w:jc w:val="both"/>
              <w:rPr>
                <w:rFonts w:ascii="Arial" w:hAnsi="Arial" w:cs="Arial"/>
                <w:color w:val="000000"/>
                <w:sz w:val="20"/>
                <w:szCs w:val="20"/>
                <w:lang w:val="es-MX" w:eastAsia="es-MX"/>
              </w:rPr>
            </w:pPr>
          </w:p>
        </w:tc>
      </w:tr>
      <w:tr w:rsidR="00713060" w:rsidRPr="00581F1F" w:rsidTr="00EC7D31">
        <w:trPr>
          <w:trHeight w:val="285"/>
        </w:trPr>
        <w:tc>
          <w:tcPr>
            <w:tcW w:w="0" w:type="auto"/>
            <w:shd w:val="clear" w:color="auto" w:fill="auto"/>
            <w:noWrap/>
            <w:vAlign w:val="bottom"/>
            <w:hideMark/>
          </w:tcPr>
          <w:p w:rsidR="00713060" w:rsidRDefault="00713060" w:rsidP="00713060">
            <w:pPr>
              <w:jc w:val="both"/>
              <w:rPr>
                <w:rFonts w:ascii="Arial" w:hAnsi="Arial" w:cs="Arial"/>
                <w:color w:val="000000"/>
                <w:sz w:val="20"/>
                <w:szCs w:val="20"/>
                <w:lang w:val="es-MX" w:eastAsia="es-MX"/>
              </w:rPr>
            </w:pPr>
            <w:r w:rsidRPr="00581F1F">
              <w:rPr>
                <w:rFonts w:ascii="Arial" w:hAnsi="Arial" w:cs="Arial"/>
                <w:color w:val="000000"/>
                <w:sz w:val="20"/>
                <w:szCs w:val="20"/>
                <w:lang w:val="es-MX" w:eastAsia="es-MX"/>
              </w:rPr>
              <w:t>- Invertir los recursos financieros disponibles en su patrimonio en los instrumentos y valores que produzcan el más alto rendimiento y liquidez posible.</w:t>
            </w:r>
          </w:p>
          <w:p w:rsidR="00772B68" w:rsidRPr="00581F1F" w:rsidRDefault="00772B68" w:rsidP="00713060">
            <w:pPr>
              <w:jc w:val="both"/>
              <w:rPr>
                <w:rFonts w:ascii="Arial" w:hAnsi="Arial" w:cs="Arial"/>
                <w:color w:val="000000"/>
                <w:sz w:val="20"/>
                <w:szCs w:val="20"/>
                <w:lang w:val="es-MX" w:eastAsia="es-MX"/>
              </w:rPr>
            </w:pPr>
          </w:p>
        </w:tc>
      </w:tr>
      <w:tr w:rsidR="00713060" w:rsidRPr="00581F1F" w:rsidTr="00EC7D31">
        <w:trPr>
          <w:trHeight w:val="570"/>
        </w:trPr>
        <w:tc>
          <w:tcPr>
            <w:tcW w:w="0" w:type="auto"/>
            <w:shd w:val="clear" w:color="auto" w:fill="auto"/>
            <w:noWrap/>
            <w:vAlign w:val="bottom"/>
            <w:hideMark/>
          </w:tcPr>
          <w:p w:rsidR="00713060" w:rsidRDefault="00713060" w:rsidP="002A3EF5">
            <w:pPr>
              <w:jc w:val="both"/>
              <w:rPr>
                <w:rFonts w:ascii="Arial" w:hAnsi="Arial" w:cs="Arial"/>
                <w:color w:val="000000"/>
                <w:sz w:val="20"/>
                <w:szCs w:val="20"/>
                <w:lang w:val="es-MX" w:eastAsia="es-MX"/>
              </w:rPr>
            </w:pPr>
            <w:r w:rsidRPr="00581F1F">
              <w:rPr>
                <w:rFonts w:ascii="Arial" w:hAnsi="Arial" w:cs="Arial"/>
                <w:color w:val="000000"/>
                <w:sz w:val="20"/>
                <w:szCs w:val="20"/>
                <w:lang w:val="es-MX" w:eastAsia="es-MX"/>
              </w:rPr>
              <w:t xml:space="preserve">- Obtener, administrar y destinar los productos y rendimientos que se obtengan con motivo de la </w:t>
            </w:r>
            <w:r w:rsidR="002A3EF5">
              <w:rPr>
                <w:rFonts w:ascii="Arial" w:hAnsi="Arial" w:cs="Arial"/>
                <w:color w:val="000000"/>
                <w:sz w:val="20"/>
                <w:szCs w:val="20"/>
                <w:lang w:val="es-MX" w:eastAsia="es-MX"/>
              </w:rPr>
              <w:t>expedición de certificados fiduciarios</w:t>
            </w:r>
            <w:r w:rsidRPr="00581F1F">
              <w:rPr>
                <w:rFonts w:ascii="Arial" w:hAnsi="Arial" w:cs="Arial"/>
                <w:color w:val="000000"/>
                <w:sz w:val="20"/>
                <w:szCs w:val="20"/>
                <w:lang w:val="es-MX" w:eastAsia="es-MX"/>
              </w:rPr>
              <w:t>.</w:t>
            </w:r>
          </w:p>
          <w:p w:rsidR="00772B68" w:rsidRPr="00581F1F" w:rsidRDefault="00772B68" w:rsidP="002A3EF5">
            <w:pPr>
              <w:jc w:val="both"/>
              <w:rPr>
                <w:rFonts w:ascii="Arial" w:hAnsi="Arial" w:cs="Arial"/>
                <w:color w:val="000000"/>
                <w:sz w:val="20"/>
                <w:szCs w:val="20"/>
                <w:lang w:val="es-MX" w:eastAsia="es-MX"/>
              </w:rPr>
            </w:pPr>
          </w:p>
        </w:tc>
      </w:tr>
    </w:tbl>
    <w:p w:rsidR="00713060" w:rsidRPr="00581F1F" w:rsidRDefault="00EC7D31" w:rsidP="00713060">
      <w:pPr>
        <w:pStyle w:val="Default"/>
        <w:numPr>
          <w:ilvl w:val="0"/>
          <w:numId w:val="32"/>
        </w:numPr>
        <w:jc w:val="both"/>
        <w:rPr>
          <w:sz w:val="20"/>
          <w:szCs w:val="20"/>
        </w:rPr>
      </w:pPr>
      <w:r w:rsidRPr="00581F1F">
        <w:rPr>
          <w:sz w:val="20"/>
          <w:szCs w:val="20"/>
          <w:u w:val="single"/>
        </w:rPr>
        <w:t>Ejercicio fiscal</w:t>
      </w:r>
      <w:r w:rsidRPr="00581F1F">
        <w:rPr>
          <w:sz w:val="20"/>
          <w:szCs w:val="20"/>
        </w:rPr>
        <w:t>: 20</w:t>
      </w:r>
      <w:r w:rsidR="00FE6AF8">
        <w:rPr>
          <w:sz w:val="20"/>
          <w:szCs w:val="20"/>
        </w:rPr>
        <w:t>20</w:t>
      </w:r>
    </w:p>
    <w:p w:rsidR="00713060" w:rsidRPr="00581F1F" w:rsidRDefault="00713060" w:rsidP="00713060">
      <w:pPr>
        <w:pStyle w:val="Default"/>
        <w:numPr>
          <w:ilvl w:val="0"/>
          <w:numId w:val="32"/>
        </w:numPr>
        <w:jc w:val="both"/>
        <w:rPr>
          <w:sz w:val="20"/>
          <w:szCs w:val="20"/>
        </w:rPr>
      </w:pPr>
      <w:r w:rsidRPr="00581F1F">
        <w:rPr>
          <w:sz w:val="20"/>
          <w:szCs w:val="20"/>
          <w:u w:val="single"/>
        </w:rPr>
        <w:t>Régimen jurídico</w:t>
      </w:r>
      <w:r w:rsidRPr="00581F1F">
        <w:rPr>
          <w:sz w:val="20"/>
          <w:szCs w:val="20"/>
        </w:rPr>
        <w:t xml:space="preserve">: </w:t>
      </w:r>
      <w:r w:rsidR="001A2438">
        <w:rPr>
          <w:sz w:val="20"/>
          <w:szCs w:val="20"/>
        </w:rPr>
        <w:t>O</w:t>
      </w:r>
      <w:r w:rsidRPr="00581F1F">
        <w:rPr>
          <w:sz w:val="20"/>
          <w:szCs w:val="20"/>
        </w:rPr>
        <w:t xml:space="preserve">rganismo </w:t>
      </w:r>
      <w:r w:rsidR="001A2438">
        <w:rPr>
          <w:sz w:val="20"/>
          <w:szCs w:val="20"/>
        </w:rPr>
        <w:t>P</w:t>
      </w:r>
      <w:r w:rsidRPr="00581F1F">
        <w:rPr>
          <w:sz w:val="20"/>
          <w:szCs w:val="20"/>
        </w:rPr>
        <w:t xml:space="preserve">úblico </w:t>
      </w:r>
      <w:r w:rsidR="001A2438">
        <w:rPr>
          <w:sz w:val="20"/>
          <w:szCs w:val="20"/>
        </w:rPr>
        <w:t>D</w:t>
      </w:r>
      <w:r w:rsidRPr="00581F1F">
        <w:rPr>
          <w:sz w:val="20"/>
          <w:szCs w:val="20"/>
        </w:rPr>
        <w:t>escentralizado</w:t>
      </w:r>
      <w:r w:rsidR="001A2438">
        <w:rPr>
          <w:sz w:val="20"/>
          <w:szCs w:val="20"/>
        </w:rPr>
        <w:t>,</w:t>
      </w:r>
      <w:r w:rsidRPr="00581F1F">
        <w:rPr>
          <w:sz w:val="20"/>
          <w:szCs w:val="20"/>
        </w:rPr>
        <w:t xml:space="preserve"> sectorizado a la Secretaría de </w:t>
      </w:r>
      <w:r w:rsidR="001A2438">
        <w:rPr>
          <w:sz w:val="20"/>
          <w:szCs w:val="20"/>
        </w:rPr>
        <w:t>Agricultura, Ganadería, Recursos Hidráulicos, Pesca  y Agricultura</w:t>
      </w:r>
      <w:r w:rsidRPr="00581F1F">
        <w:rPr>
          <w:sz w:val="20"/>
          <w:szCs w:val="20"/>
        </w:rPr>
        <w:t>, con personalidad jurídica y patrimonio propios</w:t>
      </w:r>
    </w:p>
    <w:p w:rsidR="00713060" w:rsidRPr="00581F1F" w:rsidRDefault="00713060" w:rsidP="00713060">
      <w:pPr>
        <w:pStyle w:val="Default"/>
        <w:numPr>
          <w:ilvl w:val="0"/>
          <w:numId w:val="32"/>
        </w:numPr>
        <w:jc w:val="both"/>
        <w:rPr>
          <w:sz w:val="20"/>
          <w:szCs w:val="20"/>
        </w:rPr>
      </w:pPr>
      <w:r w:rsidRPr="00581F1F">
        <w:rPr>
          <w:sz w:val="20"/>
          <w:szCs w:val="20"/>
          <w:u w:val="single"/>
        </w:rPr>
        <w:t>Consideraciones fiscales del ente</w:t>
      </w:r>
      <w:r w:rsidRPr="00581F1F">
        <w:rPr>
          <w:sz w:val="20"/>
          <w:szCs w:val="20"/>
        </w:rPr>
        <w:t>:</w:t>
      </w:r>
    </w:p>
    <w:p w:rsidR="001A2438" w:rsidRDefault="00713060" w:rsidP="00EC7D31">
      <w:pPr>
        <w:pStyle w:val="Default"/>
        <w:ind w:left="360"/>
        <w:jc w:val="both"/>
        <w:rPr>
          <w:sz w:val="20"/>
          <w:szCs w:val="20"/>
        </w:rPr>
      </w:pPr>
      <w:r w:rsidRPr="00581F1F">
        <w:rPr>
          <w:sz w:val="20"/>
          <w:szCs w:val="20"/>
        </w:rPr>
        <w:t>La Entidad se encuentra registrada como Administración pública estatal en general</w:t>
      </w:r>
      <w:r w:rsidR="001A2438">
        <w:rPr>
          <w:sz w:val="20"/>
          <w:szCs w:val="20"/>
        </w:rPr>
        <w:t>.</w:t>
      </w:r>
    </w:p>
    <w:p w:rsidR="00631B78" w:rsidRPr="00581F1F" w:rsidRDefault="00713060" w:rsidP="00EC7D31">
      <w:pPr>
        <w:pStyle w:val="Default"/>
        <w:ind w:left="360"/>
        <w:jc w:val="both"/>
        <w:rPr>
          <w:sz w:val="20"/>
          <w:szCs w:val="20"/>
        </w:rPr>
      </w:pPr>
      <w:r w:rsidRPr="00581F1F">
        <w:rPr>
          <w:sz w:val="20"/>
          <w:szCs w:val="20"/>
        </w:rPr>
        <w:t xml:space="preserve"> </w:t>
      </w:r>
    </w:p>
    <w:p w:rsidR="008E3343" w:rsidRPr="00581F1F" w:rsidRDefault="008E3343" w:rsidP="008E3343">
      <w:pPr>
        <w:pStyle w:val="Default"/>
        <w:numPr>
          <w:ilvl w:val="0"/>
          <w:numId w:val="32"/>
        </w:numPr>
        <w:jc w:val="both"/>
        <w:rPr>
          <w:sz w:val="20"/>
          <w:szCs w:val="20"/>
        </w:rPr>
      </w:pPr>
      <w:r w:rsidRPr="00407DFD">
        <w:rPr>
          <w:sz w:val="20"/>
          <w:szCs w:val="20"/>
          <w:u w:val="single"/>
        </w:rPr>
        <w:t>Estructura organizacional básica</w:t>
      </w:r>
      <w:r w:rsidRPr="00581F1F">
        <w:rPr>
          <w:sz w:val="20"/>
          <w:szCs w:val="20"/>
        </w:rPr>
        <w:t xml:space="preserve">: </w:t>
      </w:r>
      <w:r w:rsidR="001A2438">
        <w:rPr>
          <w:sz w:val="20"/>
          <w:szCs w:val="20"/>
        </w:rPr>
        <w:t xml:space="preserve">El Fideicomiso cuenta con un Órgano de Gobierno constituido por un Comité Técnico que </w:t>
      </w:r>
      <w:r w:rsidRPr="00581F1F">
        <w:rPr>
          <w:sz w:val="20"/>
          <w:szCs w:val="20"/>
        </w:rPr>
        <w:t xml:space="preserve">se contempla en el artículo </w:t>
      </w:r>
      <w:r w:rsidR="0062440F">
        <w:rPr>
          <w:sz w:val="20"/>
          <w:szCs w:val="20"/>
        </w:rPr>
        <w:t>4</w:t>
      </w:r>
      <w:r w:rsidRPr="00581F1F">
        <w:rPr>
          <w:sz w:val="20"/>
          <w:szCs w:val="20"/>
        </w:rPr>
        <w:t xml:space="preserve">° del Decreto de creación del </w:t>
      </w:r>
      <w:r w:rsidR="0062440F">
        <w:rPr>
          <w:sz w:val="20"/>
          <w:szCs w:val="20"/>
        </w:rPr>
        <w:t>AGROSON</w:t>
      </w:r>
      <w:r w:rsidRPr="00581F1F">
        <w:rPr>
          <w:sz w:val="20"/>
          <w:szCs w:val="20"/>
        </w:rPr>
        <w:t xml:space="preserve"> publicado el </w:t>
      </w:r>
      <w:r w:rsidR="0062440F">
        <w:rPr>
          <w:sz w:val="20"/>
          <w:szCs w:val="20"/>
        </w:rPr>
        <w:t>24</w:t>
      </w:r>
      <w:r w:rsidRPr="00581F1F">
        <w:rPr>
          <w:sz w:val="20"/>
          <w:szCs w:val="20"/>
        </w:rPr>
        <w:t xml:space="preserve"> de </w:t>
      </w:r>
      <w:r w:rsidR="0062440F">
        <w:rPr>
          <w:sz w:val="20"/>
          <w:szCs w:val="20"/>
        </w:rPr>
        <w:t>mayo</w:t>
      </w:r>
      <w:r w:rsidRPr="00581F1F">
        <w:rPr>
          <w:sz w:val="20"/>
          <w:szCs w:val="20"/>
        </w:rPr>
        <w:t xml:space="preserve"> de 200</w:t>
      </w:r>
      <w:r w:rsidR="0062440F">
        <w:rPr>
          <w:sz w:val="20"/>
          <w:szCs w:val="20"/>
        </w:rPr>
        <w:t>1</w:t>
      </w:r>
      <w:r w:rsidRPr="00581F1F">
        <w:rPr>
          <w:sz w:val="20"/>
          <w:szCs w:val="20"/>
        </w:rPr>
        <w:t xml:space="preserve"> en el Boletín Oficial del Gobierno del Estado de Sonora N°. </w:t>
      </w:r>
      <w:r w:rsidR="0062440F">
        <w:rPr>
          <w:sz w:val="20"/>
          <w:szCs w:val="20"/>
        </w:rPr>
        <w:t>42</w:t>
      </w:r>
      <w:r w:rsidRPr="00581F1F">
        <w:rPr>
          <w:sz w:val="20"/>
          <w:szCs w:val="20"/>
        </w:rPr>
        <w:t xml:space="preserve">, Sección </w:t>
      </w:r>
      <w:r w:rsidR="0062440F">
        <w:rPr>
          <w:sz w:val="20"/>
          <w:szCs w:val="20"/>
        </w:rPr>
        <w:t>I</w:t>
      </w:r>
      <w:r w:rsidRPr="00581F1F">
        <w:rPr>
          <w:sz w:val="20"/>
          <w:szCs w:val="20"/>
        </w:rPr>
        <w:t>I.</w:t>
      </w:r>
    </w:p>
    <w:p w:rsidR="005F3445" w:rsidRPr="00581F1F" w:rsidRDefault="005F3445" w:rsidP="005F3445">
      <w:pPr>
        <w:pStyle w:val="Default"/>
        <w:ind w:left="360"/>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Bases de preparación de los Estados Financieros</w:t>
      </w:r>
    </w:p>
    <w:p w:rsidR="008E3343" w:rsidRPr="00581F1F" w:rsidRDefault="008E3343" w:rsidP="008E3343">
      <w:pPr>
        <w:pStyle w:val="Default"/>
        <w:jc w:val="both"/>
        <w:rPr>
          <w:sz w:val="20"/>
          <w:szCs w:val="20"/>
        </w:rPr>
      </w:pPr>
      <w:r w:rsidRPr="00581F1F">
        <w:rPr>
          <w:sz w:val="20"/>
          <w:szCs w:val="20"/>
        </w:rPr>
        <w:t>Los Estados Financieros se han elaborado observando las normas emitidas por el Consejo Nacional de Armonización Contable en el Manual de Contabilidad Gubernamental y las disposiciones legales aplicables.</w:t>
      </w:r>
    </w:p>
    <w:p w:rsidR="008E3343" w:rsidRPr="00581F1F" w:rsidRDefault="008E3343" w:rsidP="008E3343">
      <w:pPr>
        <w:pStyle w:val="Default"/>
        <w:jc w:val="both"/>
        <w:rPr>
          <w:sz w:val="20"/>
          <w:szCs w:val="20"/>
        </w:rPr>
      </w:pPr>
    </w:p>
    <w:p w:rsidR="008E3343" w:rsidRPr="00581F1F" w:rsidRDefault="008E3343" w:rsidP="008E3343">
      <w:pPr>
        <w:pStyle w:val="Default"/>
        <w:jc w:val="both"/>
        <w:rPr>
          <w:sz w:val="20"/>
          <w:szCs w:val="20"/>
        </w:rPr>
      </w:pPr>
      <w:r w:rsidRPr="00581F1F">
        <w:rPr>
          <w:sz w:val="20"/>
          <w:szCs w:val="20"/>
        </w:rPr>
        <w:t>El reconocimiento, valuación y revaluación, se realizó considerando que todos los eventos que afecten económicamente al ente público deben ser cuantificados en términos monetarios y se registrarán al costo histórico o al valor económico más objetivo registrándose en moneda nacional.</w:t>
      </w:r>
    </w:p>
    <w:p w:rsidR="008E3343" w:rsidRPr="00581F1F" w:rsidRDefault="008E3343" w:rsidP="008E3343">
      <w:pPr>
        <w:pStyle w:val="Default"/>
        <w:jc w:val="both"/>
        <w:rPr>
          <w:sz w:val="20"/>
          <w:szCs w:val="20"/>
        </w:rPr>
      </w:pPr>
    </w:p>
    <w:p w:rsidR="008E3343" w:rsidRPr="00581F1F" w:rsidRDefault="008E3343" w:rsidP="008E3343">
      <w:pPr>
        <w:pStyle w:val="Default"/>
        <w:jc w:val="both"/>
        <w:rPr>
          <w:sz w:val="20"/>
          <w:szCs w:val="20"/>
        </w:rPr>
      </w:pPr>
      <w:r w:rsidRPr="00581F1F">
        <w:rPr>
          <w:sz w:val="20"/>
          <w:szCs w:val="20"/>
        </w:rPr>
        <w:t>Los estados financieros fueron preparados en apega a los Postulados Básicos de Contabilidad Gubernamental emitidos por el Consejo Nacional de Armonización Contable.</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Políticas de Contabilidad Significativas</w:t>
      </w:r>
    </w:p>
    <w:p w:rsidR="008E3343" w:rsidRPr="00581F1F" w:rsidRDefault="008E3343" w:rsidP="008E3343">
      <w:pPr>
        <w:pStyle w:val="Default"/>
        <w:numPr>
          <w:ilvl w:val="0"/>
          <w:numId w:val="33"/>
        </w:numPr>
        <w:jc w:val="both"/>
        <w:rPr>
          <w:sz w:val="20"/>
          <w:szCs w:val="20"/>
        </w:rPr>
      </w:pPr>
      <w:r w:rsidRPr="00581F1F">
        <w:rPr>
          <w:sz w:val="20"/>
          <w:szCs w:val="20"/>
        </w:rPr>
        <w:t>Operaciones en el extranjero: La Entidad no realiza operaciones en el extranjero.</w:t>
      </w:r>
    </w:p>
    <w:p w:rsidR="005A7E66" w:rsidRPr="00D92E5D" w:rsidRDefault="008E3343" w:rsidP="005A7E66">
      <w:pPr>
        <w:pStyle w:val="Default"/>
        <w:numPr>
          <w:ilvl w:val="0"/>
          <w:numId w:val="33"/>
        </w:numPr>
        <w:jc w:val="both"/>
        <w:rPr>
          <w:sz w:val="20"/>
          <w:szCs w:val="20"/>
        </w:rPr>
      </w:pPr>
      <w:r w:rsidRPr="00581F1F">
        <w:rPr>
          <w:sz w:val="20"/>
          <w:szCs w:val="20"/>
        </w:rPr>
        <w:t>Método de valuación de la inversión en acciones de Compañías subsidiarias y no consolidadas y asociadas: La Entidad no cuenta con inver</w:t>
      </w:r>
      <w:r w:rsidR="00EC7D31" w:rsidRPr="00581F1F">
        <w:rPr>
          <w:sz w:val="20"/>
          <w:szCs w:val="20"/>
        </w:rPr>
        <w:t>s</w:t>
      </w:r>
      <w:r w:rsidRPr="00581F1F">
        <w:rPr>
          <w:sz w:val="20"/>
          <w:szCs w:val="20"/>
        </w:rPr>
        <w:t>iones en acciones en compañías subsid</w:t>
      </w:r>
      <w:r w:rsidR="00EC7D31" w:rsidRPr="00581F1F">
        <w:rPr>
          <w:sz w:val="20"/>
          <w:szCs w:val="20"/>
        </w:rPr>
        <w:t>i</w:t>
      </w:r>
      <w:r w:rsidRPr="00581F1F">
        <w:rPr>
          <w:sz w:val="20"/>
          <w:szCs w:val="20"/>
        </w:rPr>
        <w:t>arias, no consolidadas y asociadas.</w:t>
      </w:r>
    </w:p>
    <w:p w:rsidR="008E3343" w:rsidRPr="00581F1F" w:rsidRDefault="008E3343" w:rsidP="008E3343">
      <w:pPr>
        <w:pStyle w:val="Default"/>
        <w:numPr>
          <w:ilvl w:val="0"/>
          <w:numId w:val="33"/>
        </w:numPr>
        <w:jc w:val="both"/>
        <w:rPr>
          <w:sz w:val="20"/>
          <w:szCs w:val="20"/>
        </w:rPr>
      </w:pPr>
      <w:r w:rsidRPr="00581F1F">
        <w:rPr>
          <w:sz w:val="20"/>
          <w:szCs w:val="20"/>
        </w:rPr>
        <w:t>Sistema y método de valuación de inventarios y costo de lo vendido: La Entidad no cuenta con inventarios, por lo tanto no maneja un sistema y método de valuación de los mismos.</w:t>
      </w:r>
    </w:p>
    <w:p w:rsidR="008E3343" w:rsidRPr="00581F1F" w:rsidRDefault="008E3343" w:rsidP="008E3343">
      <w:pPr>
        <w:pStyle w:val="Default"/>
        <w:numPr>
          <w:ilvl w:val="0"/>
          <w:numId w:val="33"/>
        </w:numPr>
        <w:jc w:val="both"/>
        <w:rPr>
          <w:sz w:val="20"/>
          <w:szCs w:val="20"/>
        </w:rPr>
      </w:pPr>
      <w:r w:rsidRPr="00581F1F">
        <w:rPr>
          <w:sz w:val="20"/>
          <w:szCs w:val="20"/>
        </w:rPr>
        <w:t xml:space="preserve">Beneficios a Empleados: No se registran Pasivos Laborales, ya que </w:t>
      </w:r>
      <w:r w:rsidR="005E17EB">
        <w:rPr>
          <w:sz w:val="20"/>
          <w:szCs w:val="20"/>
        </w:rPr>
        <w:t xml:space="preserve">el personal que labora en el Fideicomiso </w:t>
      </w:r>
      <w:r w:rsidR="00772B68">
        <w:rPr>
          <w:sz w:val="20"/>
          <w:szCs w:val="20"/>
        </w:rPr>
        <w:t xml:space="preserve">se contrata </w:t>
      </w:r>
      <w:r w:rsidR="005E17EB">
        <w:rPr>
          <w:sz w:val="20"/>
          <w:szCs w:val="20"/>
        </w:rPr>
        <w:t xml:space="preserve"> en la modalidad de honorarios profesionales. </w:t>
      </w:r>
    </w:p>
    <w:p w:rsidR="008E3343" w:rsidRPr="00581F1F" w:rsidRDefault="008E3343" w:rsidP="008E3343">
      <w:pPr>
        <w:pStyle w:val="Default"/>
        <w:numPr>
          <w:ilvl w:val="0"/>
          <w:numId w:val="33"/>
        </w:numPr>
        <w:jc w:val="both"/>
        <w:rPr>
          <w:sz w:val="20"/>
          <w:szCs w:val="20"/>
        </w:rPr>
      </w:pPr>
      <w:r w:rsidRPr="00581F1F">
        <w:rPr>
          <w:sz w:val="20"/>
          <w:szCs w:val="20"/>
        </w:rPr>
        <w:t>Provisiones: No se registran provisiones en la Entidad.</w:t>
      </w:r>
    </w:p>
    <w:p w:rsidR="008E3343" w:rsidRPr="00581F1F" w:rsidRDefault="008E3343" w:rsidP="008E3343">
      <w:pPr>
        <w:pStyle w:val="Default"/>
        <w:numPr>
          <w:ilvl w:val="0"/>
          <w:numId w:val="33"/>
        </w:numPr>
        <w:jc w:val="both"/>
        <w:rPr>
          <w:sz w:val="20"/>
          <w:szCs w:val="20"/>
        </w:rPr>
      </w:pPr>
      <w:r w:rsidRPr="00581F1F">
        <w:rPr>
          <w:sz w:val="20"/>
          <w:szCs w:val="20"/>
        </w:rPr>
        <w:t xml:space="preserve">Reservas: </w:t>
      </w:r>
      <w:r w:rsidR="005E17EB">
        <w:rPr>
          <w:sz w:val="20"/>
          <w:szCs w:val="20"/>
        </w:rPr>
        <w:t xml:space="preserve">Mensualmente se crea una reserva por el 10% del resultado  del mes en curso. </w:t>
      </w:r>
    </w:p>
    <w:p w:rsidR="008E3343" w:rsidRPr="00581F1F" w:rsidRDefault="008E3343" w:rsidP="008E3343">
      <w:pPr>
        <w:pStyle w:val="Default"/>
        <w:numPr>
          <w:ilvl w:val="0"/>
          <w:numId w:val="33"/>
        </w:numPr>
        <w:jc w:val="both"/>
        <w:rPr>
          <w:sz w:val="20"/>
          <w:szCs w:val="20"/>
        </w:rPr>
      </w:pPr>
      <w:r w:rsidRPr="00581F1F">
        <w:rPr>
          <w:sz w:val="20"/>
          <w:szCs w:val="20"/>
        </w:rPr>
        <w:t>Cambios en políticas contables: En la Entidad no se han registrado cambios significativos en la política contable.</w:t>
      </w:r>
    </w:p>
    <w:p w:rsidR="008E3343" w:rsidRPr="00581F1F" w:rsidRDefault="008E3343" w:rsidP="008E3343">
      <w:pPr>
        <w:pStyle w:val="Default"/>
        <w:numPr>
          <w:ilvl w:val="0"/>
          <w:numId w:val="33"/>
        </w:numPr>
        <w:jc w:val="both"/>
        <w:rPr>
          <w:sz w:val="20"/>
          <w:szCs w:val="20"/>
        </w:rPr>
      </w:pPr>
      <w:r w:rsidRPr="00581F1F">
        <w:rPr>
          <w:sz w:val="20"/>
          <w:szCs w:val="20"/>
        </w:rPr>
        <w:t>Reclasificaciones: En la Entidad no se han registrado reclasificaciones.</w:t>
      </w:r>
    </w:p>
    <w:p w:rsidR="008E3343" w:rsidRPr="00581F1F" w:rsidRDefault="008E3343" w:rsidP="008E3343">
      <w:pPr>
        <w:pStyle w:val="Default"/>
        <w:numPr>
          <w:ilvl w:val="0"/>
          <w:numId w:val="33"/>
        </w:numPr>
        <w:jc w:val="both"/>
        <w:rPr>
          <w:sz w:val="20"/>
          <w:szCs w:val="20"/>
        </w:rPr>
      </w:pPr>
      <w:r w:rsidRPr="00581F1F">
        <w:rPr>
          <w:sz w:val="20"/>
          <w:szCs w:val="20"/>
        </w:rPr>
        <w:t xml:space="preserve">Depuraciones y cancelación de saldos: En la Entidad </w:t>
      </w:r>
      <w:r w:rsidR="005E17EB">
        <w:rPr>
          <w:sz w:val="20"/>
          <w:szCs w:val="20"/>
        </w:rPr>
        <w:t>se revisa y coteja con las instituciones financieras el estatus de los certificados de garantía otorgados para su depuración contable.</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Posición en Moneda extranjera y protección por riesgos cambiarios</w:t>
      </w:r>
    </w:p>
    <w:p w:rsidR="008E3343" w:rsidRPr="00581F1F" w:rsidRDefault="008E3343" w:rsidP="008E3343">
      <w:pPr>
        <w:pStyle w:val="Default"/>
        <w:jc w:val="both"/>
        <w:rPr>
          <w:sz w:val="20"/>
          <w:szCs w:val="20"/>
        </w:rPr>
      </w:pPr>
      <w:r w:rsidRPr="00581F1F">
        <w:rPr>
          <w:sz w:val="20"/>
          <w:szCs w:val="20"/>
        </w:rPr>
        <w:t>La Entidad no cuenta con cuentas de cheques, inversiones, pasivos, entre otros, en moneda extranjera.</w:t>
      </w:r>
    </w:p>
    <w:p w:rsidR="008E3343" w:rsidRDefault="008E3343" w:rsidP="008E3343">
      <w:pPr>
        <w:pStyle w:val="Default"/>
        <w:jc w:val="both"/>
        <w:rPr>
          <w:sz w:val="20"/>
          <w:szCs w:val="20"/>
        </w:rPr>
      </w:pPr>
    </w:p>
    <w:p w:rsidR="00631B78" w:rsidRDefault="00631B78" w:rsidP="008E3343">
      <w:pPr>
        <w:pStyle w:val="Default"/>
        <w:jc w:val="both"/>
        <w:rPr>
          <w:sz w:val="20"/>
          <w:szCs w:val="20"/>
        </w:rPr>
      </w:pPr>
    </w:p>
    <w:p w:rsidR="00334008" w:rsidRPr="00581F1F" w:rsidRDefault="00334008"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Reporte Analítico de Activo</w:t>
      </w:r>
    </w:p>
    <w:p w:rsidR="008E3343" w:rsidRDefault="008E3343" w:rsidP="008E3343">
      <w:pPr>
        <w:pStyle w:val="Default"/>
        <w:numPr>
          <w:ilvl w:val="0"/>
          <w:numId w:val="34"/>
        </w:numPr>
        <w:jc w:val="both"/>
        <w:rPr>
          <w:sz w:val="20"/>
          <w:szCs w:val="20"/>
        </w:rPr>
      </w:pPr>
      <w:r w:rsidRPr="00581F1F">
        <w:rPr>
          <w:sz w:val="20"/>
          <w:szCs w:val="20"/>
        </w:rPr>
        <w:t>Vida útil o porcentaje de depreciación, deterioro o amortización utilizado por los diferentes tipos de activos. En las Reglas Específicas del Registro y Valoración del Patrimonio emitidas por el Consejo Nacional de Armonización Contable, se definió como vida útil de un activo, al período durante el que se espera utilizar el activo por parte del ente público. Con base en estas reglas, la Entidad determinó que sus bienes tiene una vida útil, por lo cual éstos se deprecian.</w:t>
      </w:r>
    </w:p>
    <w:p w:rsidR="008E3343" w:rsidRPr="00581F1F" w:rsidRDefault="008E3343" w:rsidP="008E3343">
      <w:pPr>
        <w:pStyle w:val="Default"/>
        <w:numPr>
          <w:ilvl w:val="0"/>
          <w:numId w:val="34"/>
        </w:numPr>
        <w:jc w:val="both"/>
        <w:rPr>
          <w:sz w:val="20"/>
          <w:szCs w:val="20"/>
        </w:rPr>
      </w:pPr>
      <w:r w:rsidRPr="00581F1F">
        <w:rPr>
          <w:sz w:val="20"/>
          <w:szCs w:val="20"/>
        </w:rPr>
        <w:t>Cambios en el porcentaje de depreciación o valor residual de los activos. La Entidad no tiene cambios en los porcentajes, según las Reglas Específicas del Registro y Valoración del Patrimonio emitidas por el CONAC.</w:t>
      </w:r>
    </w:p>
    <w:p w:rsidR="008E3343" w:rsidRPr="00581F1F" w:rsidRDefault="008E3343" w:rsidP="008E3343">
      <w:pPr>
        <w:pStyle w:val="Default"/>
        <w:numPr>
          <w:ilvl w:val="0"/>
          <w:numId w:val="34"/>
        </w:numPr>
        <w:jc w:val="both"/>
        <w:rPr>
          <w:sz w:val="20"/>
          <w:szCs w:val="20"/>
        </w:rPr>
      </w:pPr>
      <w:r w:rsidRPr="00581F1F">
        <w:rPr>
          <w:sz w:val="20"/>
          <w:szCs w:val="20"/>
        </w:rPr>
        <w:lastRenderedPageBreak/>
        <w:t>Importe de gastos de capitalización en el ejercicio. No se realizaron gastos de capitalización en este ejercicio.</w:t>
      </w:r>
    </w:p>
    <w:p w:rsidR="008E3343" w:rsidRPr="00581F1F" w:rsidRDefault="008E3343" w:rsidP="008E3343">
      <w:pPr>
        <w:pStyle w:val="Default"/>
        <w:numPr>
          <w:ilvl w:val="0"/>
          <w:numId w:val="34"/>
        </w:numPr>
        <w:jc w:val="both"/>
        <w:rPr>
          <w:sz w:val="20"/>
          <w:szCs w:val="20"/>
        </w:rPr>
      </w:pPr>
      <w:r w:rsidRPr="00581F1F">
        <w:rPr>
          <w:sz w:val="20"/>
          <w:szCs w:val="20"/>
        </w:rPr>
        <w:t>Riesgos por tipo de cambio o por tipo de interés de inversiones financieras. No se cuenta con inversiones financieras en moneda extranjera.</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 xml:space="preserve">Fideicomisos, </w:t>
      </w:r>
      <w:r w:rsidR="00F31859" w:rsidRPr="00581F1F">
        <w:rPr>
          <w:b/>
          <w:sz w:val="20"/>
          <w:szCs w:val="20"/>
          <w:u w:val="single"/>
        </w:rPr>
        <w:t>Mandatos</w:t>
      </w:r>
      <w:r w:rsidRPr="00581F1F">
        <w:rPr>
          <w:b/>
          <w:sz w:val="20"/>
          <w:szCs w:val="20"/>
          <w:u w:val="single"/>
        </w:rPr>
        <w:t xml:space="preserve"> y Análogos</w:t>
      </w:r>
    </w:p>
    <w:p w:rsidR="008E3343" w:rsidRDefault="008E3343" w:rsidP="008E3343">
      <w:pPr>
        <w:pStyle w:val="Default"/>
        <w:jc w:val="both"/>
        <w:rPr>
          <w:sz w:val="20"/>
          <w:szCs w:val="20"/>
        </w:rPr>
      </w:pPr>
      <w:r w:rsidRPr="00581F1F">
        <w:rPr>
          <w:sz w:val="20"/>
          <w:szCs w:val="20"/>
        </w:rPr>
        <w:t xml:space="preserve">No cuenta la Entidad con Fideicomisos, </w:t>
      </w:r>
      <w:r w:rsidR="00F31859" w:rsidRPr="00581F1F">
        <w:rPr>
          <w:sz w:val="20"/>
          <w:szCs w:val="20"/>
        </w:rPr>
        <w:t>Mandatos</w:t>
      </w:r>
      <w:r w:rsidRPr="00581F1F">
        <w:rPr>
          <w:sz w:val="20"/>
          <w:szCs w:val="20"/>
        </w:rPr>
        <w:t xml:space="preserve"> y </w:t>
      </w:r>
      <w:r w:rsidR="00F31859" w:rsidRPr="00581F1F">
        <w:rPr>
          <w:sz w:val="20"/>
          <w:szCs w:val="20"/>
        </w:rPr>
        <w:t>Análogos</w:t>
      </w:r>
      <w:r w:rsidRPr="00581F1F">
        <w:rPr>
          <w:sz w:val="20"/>
          <w:szCs w:val="20"/>
        </w:rPr>
        <w:t xml:space="preserve"> al </w:t>
      </w:r>
      <w:r w:rsidR="00AF1858">
        <w:rPr>
          <w:sz w:val="20"/>
          <w:szCs w:val="20"/>
        </w:rPr>
        <w:t>3</w:t>
      </w:r>
      <w:r w:rsidR="00127C22">
        <w:rPr>
          <w:sz w:val="20"/>
          <w:szCs w:val="20"/>
        </w:rPr>
        <w:t>0</w:t>
      </w:r>
      <w:r w:rsidRPr="00581F1F">
        <w:rPr>
          <w:sz w:val="20"/>
          <w:szCs w:val="20"/>
        </w:rPr>
        <w:t xml:space="preserve"> de </w:t>
      </w:r>
      <w:r w:rsidR="00127C22">
        <w:rPr>
          <w:sz w:val="20"/>
          <w:szCs w:val="20"/>
        </w:rPr>
        <w:t>junio</w:t>
      </w:r>
      <w:r w:rsidRPr="00581F1F">
        <w:rPr>
          <w:sz w:val="20"/>
          <w:szCs w:val="20"/>
        </w:rPr>
        <w:t xml:space="preserve"> de 20</w:t>
      </w:r>
      <w:r w:rsidR="007A45A6">
        <w:rPr>
          <w:sz w:val="20"/>
          <w:szCs w:val="20"/>
        </w:rPr>
        <w:t>20</w:t>
      </w:r>
      <w:r w:rsidRPr="00581F1F">
        <w:rPr>
          <w:sz w:val="20"/>
          <w:szCs w:val="20"/>
        </w:rPr>
        <w:t>.</w:t>
      </w:r>
    </w:p>
    <w:p w:rsidR="002C24E7" w:rsidRPr="00581F1F" w:rsidRDefault="002C24E7"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Reporte de recaudación</w:t>
      </w:r>
    </w:p>
    <w:p w:rsidR="00492A27" w:rsidRPr="00581F1F" w:rsidRDefault="008E3343" w:rsidP="00492A27">
      <w:pPr>
        <w:pStyle w:val="Default"/>
        <w:numPr>
          <w:ilvl w:val="0"/>
          <w:numId w:val="35"/>
        </w:numPr>
        <w:jc w:val="both"/>
        <w:rPr>
          <w:b/>
          <w:sz w:val="20"/>
          <w:szCs w:val="20"/>
          <w:u w:val="single"/>
        </w:rPr>
      </w:pPr>
      <w:r w:rsidRPr="00581F1F">
        <w:rPr>
          <w:sz w:val="20"/>
          <w:szCs w:val="20"/>
        </w:rPr>
        <w:t xml:space="preserve">Análisis del comportamiento de la recaudación: Los Ingresos obtenidos fueron de </w:t>
      </w:r>
      <w:r w:rsidRPr="007A45A6">
        <w:rPr>
          <w:sz w:val="20"/>
          <w:szCs w:val="20"/>
        </w:rPr>
        <w:t>$</w:t>
      </w:r>
      <w:r w:rsidR="00127C22">
        <w:rPr>
          <w:sz w:val="20"/>
          <w:szCs w:val="20"/>
        </w:rPr>
        <w:t>3</w:t>
      </w:r>
      <w:r w:rsidR="00334008" w:rsidRPr="007A45A6">
        <w:rPr>
          <w:sz w:val="20"/>
          <w:szCs w:val="20"/>
        </w:rPr>
        <w:t>´</w:t>
      </w:r>
      <w:r w:rsidR="00127C22">
        <w:rPr>
          <w:sz w:val="20"/>
          <w:szCs w:val="20"/>
        </w:rPr>
        <w:t>6</w:t>
      </w:r>
      <w:r w:rsidR="007A45A6">
        <w:rPr>
          <w:sz w:val="20"/>
          <w:szCs w:val="20"/>
        </w:rPr>
        <w:t>95</w:t>
      </w:r>
      <w:r w:rsidR="00334008" w:rsidRPr="007A45A6">
        <w:rPr>
          <w:sz w:val="20"/>
          <w:szCs w:val="20"/>
        </w:rPr>
        <w:t>,</w:t>
      </w:r>
      <w:r w:rsidR="00127C22">
        <w:rPr>
          <w:sz w:val="20"/>
          <w:szCs w:val="20"/>
        </w:rPr>
        <w:t>65</w:t>
      </w:r>
      <w:r w:rsidR="007A45A6">
        <w:rPr>
          <w:sz w:val="20"/>
          <w:szCs w:val="20"/>
        </w:rPr>
        <w:t>7</w:t>
      </w:r>
      <w:r w:rsidRPr="00581F1F">
        <w:rPr>
          <w:sz w:val="20"/>
          <w:szCs w:val="20"/>
        </w:rPr>
        <w:t xml:space="preserve">, que se integran por </w:t>
      </w:r>
      <w:r w:rsidR="005E17EB">
        <w:rPr>
          <w:sz w:val="20"/>
          <w:szCs w:val="20"/>
        </w:rPr>
        <w:t>Comisiones</w:t>
      </w:r>
      <w:r w:rsidRPr="00581F1F">
        <w:rPr>
          <w:sz w:val="20"/>
          <w:szCs w:val="20"/>
        </w:rPr>
        <w:t xml:space="preserve">, </w:t>
      </w:r>
      <w:r w:rsidR="005E17EB">
        <w:rPr>
          <w:sz w:val="20"/>
          <w:szCs w:val="20"/>
        </w:rPr>
        <w:t>Intereses y rendimientos financieros</w:t>
      </w:r>
      <w:r w:rsidR="00D92E5D">
        <w:rPr>
          <w:sz w:val="20"/>
          <w:szCs w:val="20"/>
        </w:rPr>
        <w:t xml:space="preserve"> principalmente</w:t>
      </w:r>
      <w:r w:rsidR="00492A27" w:rsidRPr="00581F1F">
        <w:rPr>
          <w:sz w:val="20"/>
          <w:szCs w:val="20"/>
        </w:rPr>
        <w:t>.</w:t>
      </w:r>
    </w:p>
    <w:p w:rsidR="00492A27" w:rsidRPr="00581F1F" w:rsidRDefault="00492A27" w:rsidP="00492A27">
      <w:pPr>
        <w:pStyle w:val="Default"/>
        <w:ind w:left="720"/>
        <w:jc w:val="both"/>
        <w:rPr>
          <w:b/>
          <w:sz w:val="20"/>
          <w:szCs w:val="20"/>
          <w:u w:val="single"/>
        </w:rPr>
      </w:pPr>
    </w:p>
    <w:p w:rsidR="008E3343" w:rsidRPr="00581F1F" w:rsidRDefault="00492A27" w:rsidP="00492A27">
      <w:pPr>
        <w:pStyle w:val="Default"/>
        <w:numPr>
          <w:ilvl w:val="0"/>
          <w:numId w:val="35"/>
        </w:numPr>
        <w:jc w:val="both"/>
        <w:rPr>
          <w:b/>
          <w:sz w:val="20"/>
          <w:szCs w:val="20"/>
          <w:u w:val="single"/>
        </w:rPr>
      </w:pPr>
      <w:r w:rsidRPr="00581F1F">
        <w:rPr>
          <w:b/>
          <w:sz w:val="20"/>
          <w:szCs w:val="20"/>
          <w:u w:val="single"/>
        </w:rPr>
        <w:t xml:space="preserve"> </w:t>
      </w:r>
      <w:r w:rsidR="008E3343" w:rsidRPr="00581F1F">
        <w:rPr>
          <w:b/>
          <w:sz w:val="20"/>
          <w:szCs w:val="20"/>
          <w:u w:val="single"/>
        </w:rPr>
        <w:t>Información sobre la Deuda y el Reporte Analítico de la Deuda</w:t>
      </w:r>
    </w:p>
    <w:p w:rsidR="008E3343" w:rsidRPr="00581F1F" w:rsidRDefault="008E3343" w:rsidP="008E3343">
      <w:pPr>
        <w:pStyle w:val="Default"/>
        <w:jc w:val="both"/>
        <w:rPr>
          <w:sz w:val="20"/>
          <w:szCs w:val="20"/>
        </w:rPr>
      </w:pPr>
      <w:r w:rsidRPr="00581F1F">
        <w:rPr>
          <w:sz w:val="20"/>
          <w:szCs w:val="20"/>
        </w:rPr>
        <w:t>La Entidad no cuenta con Deuda Pública</w:t>
      </w:r>
      <w:r w:rsidR="00D92E5D">
        <w:rPr>
          <w:sz w:val="20"/>
          <w:szCs w:val="20"/>
        </w:rPr>
        <w:t xml:space="preserve"> al </w:t>
      </w:r>
      <w:r w:rsidR="00AF1858">
        <w:rPr>
          <w:sz w:val="20"/>
          <w:szCs w:val="20"/>
        </w:rPr>
        <w:t>3</w:t>
      </w:r>
      <w:r w:rsidR="00127C22">
        <w:rPr>
          <w:sz w:val="20"/>
          <w:szCs w:val="20"/>
        </w:rPr>
        <w:t>0</w:t>
      </w:r>
      <w:r w:rsidR="00D92E5D">
        <w:rPr>
          <w:sz w:val="20"/>
          <w:szCs w:val="20"/>
        </w:rPr>
        <w:t xml:space="preserve"> de </w:t>
      </w:r>
      <w:r w:rsidR="00127C22">
        <w:rPr>
          <w:sz w:val="20"/>
          <w:szCs w:val="20"/>
        </w:rPr>
        <w:t>junio</w:t>
      </w:r>
      <w:r w:rsidR="00D92E5D">
        <w:rPr>
          <w:sz w:val="20"/>
          <w:szCs w:val="20"/>
        </w:rPr>
        <w:t xml:space="preserve"> de 20</w:t>
      </w:r>
      <w:r w:rsidR="00FE6AF8">
        <w:rPr>
          <w:sz w:val="20"/>
          <w:szCs w:val="20"/>
        </w:rPr>
        <w:t>20</w:t>
      </w:r>
      <w:r w:rsidRPr="00581F1F">
        <w:rPr>
          <w:sz w:val="20"/>
          <w:szCs w:val="20"/>
        </w:rPr>
        <w:t>.</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Calificaciones otorgadas</w:t>
      </w:r>
    </w:p>
    <w:p w:rsidR="008E3343" w:rsidRPr="00581F1F" w:rsidRDefault="008E3343" w:rsidP="008E3343">
      <w:pPr>
        <w:pStyle w:val="Default"/>
        <w:jc w:val="both"/>
        <w:rPr>
          <w:sz w:val="20"/>
          <w:szCs w:val="20"/>
        </w:rPr>
      </w:pPr>
      <w:r w:rsidRPr="00581F1F">
        <w:rPr>
          <w:sz w:val="20"/>
          <w:szCs w:val="20"/>
        </w:rPr>
        <w:t xml:space="preserve">La Entidad no cuenta con calificaciones otorgadas al </w:t>
      </w:r>
      <w:r w:rsidR="007E372B">
        <w:rPr>
          <w:sz w:val="20"/>
          <w:szCs w:val="20"/>
        </w:rPr>
        <w:t>3</w:t>
      </w:r>
      <w:r w:rsidR="00127C22">
        <w:rPr>
          <w:sz w:val="20"/>
          <w:szCs w:val="20"/>
        </w:rPr>
        <w:t>0</w:t>
      </w:r>
      <w:r w:rsidRPr="00581F1F">
        <w:rPr>
          <w:sz w:val="20"/>
          <w:szCs w:val="20"/>
        </w:rPr>
        <w:t xml:space="preserve"> de </w:t>
      </w:r>
      <w:r w:rsidR="00127C22">
        <w:rPr>
          <w:sz w:val="20"/>
          <w:szCs w:val="20"/>
        </w:rPr>
        <w:t>junio</w:t>
      </w:r>
      <w:r w:rsidR="00F12366" w:rsidRPr="00581F1F">
        <w:rPr>
          <w:sz w:val="20"/>
          <w:szCs w:val="20"/>
        </w:rPr>
        <w:t xml:space="preserve"> de 20</w:t>
      </w:r>
      <w:r w:rsidR="00FE6AF8">
        <w:rPr>
          <w:sz w:val="20"/>
          <w:szCs w:val="20"/>
        </w:rPr>
        <w:t>20</w:t>
      </w:r>
      <w:r w:rsidRPr="00581F1F">
        <w:rPr>
          <w:sz w:val="20"/>
          <w:szCs w:val="20"/>
        </w:rPr>
        <w:t>.</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Proceso de Mejora</w:t>
      </w:r>
    </w:p>
    <w:p w:rsidR="008E3343" w:rsidRPr="00581F1F" w:rsidRDefault="008E3343" w:rsidP="008E3343">
      <w:pPr>
        <w:pStyle w:val="Default"/>
        <w:jc w:val="both"/>
        <w:rPr>
          <w:sz w:val="20"/>
          <w:szCs w:val="20"/>
        </w:rPr>
      </w:pPr>
      <w:r w:rsidRPr="00581F1F">
        <w:rPr>
          <w:sz w:val="20"/>
          <w:szCs w:val="20"/>
        </w:rPr>
        <w:t xml:space="preserve">La Entidad se sometió a lo dispuesto en el Acuerdo por el que se emiten las Medidas y Lineamientos de Reducción, Eficiencia y Transparencia del Gasto Público del Estado de Sonora, el cual promueve el uso eficiente y eficaz de los recursos públicos de las Dependencias y Entidades, </w:t>
      </w:r>
      <w:r w:rsidR="008919AF">
        <w:rPr>
          <w:sz w:val="20"/>
          <w:szCs w:val="20"/>
        </w:rPr>
        <w:t xml:space="preserve">bajo los </w:t>
      </w:r>
      <w:r w:rsidRPr="00581F1F">
        <w:rPr>
          <w:sz w:val="20"/>
          <w:szCs w:val="20"/>
        </w:rPr>
        <w:t>criterios de racionalidad, austeridad y disciplina presupuestal.</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Infor</w:t>
      </w:r>
      <w:r w:rsidRPr="008919AF">
        <w:rPr>
          <w:b/>
          <w:sz w:val="20"/>
          <w:szCs w:val="20"/>
          <w:u w:val="single"/>
        </w:rPr>
        <w:t>mación</w:t>
      </w:r>
      <w:r w:rsidRPr="00581F1F">
        <w:rPr>
          <w:b/>
          <w:sz w:val="20"/>
          <w:szCs w:val="20"/>
          <w:u w:val="single"/>
        </w:rPr>
        <w:t xml:space="preserve"> por segmentos</w:t>
      </w:r>
    </w:p>
    <w:p w:rsidR="008E3343" w:rsidRPr="00581F1F" w:rsidRDefault="008E3343" w:rsidP="008E3343">
      <w:pPr>
        <w:pStyle w:val="Default"/>
        <w:jc w:val="both"/>
        <w:rPr>
          <w:sz w:val="20"/>
          <w:szCs w:val="20"/>
        </w:rPr>
      </w:pPr>
      <w:r w:rsidRPr="00581F1F">
        <w:rPr>
          <w:sz w:val="20"/>
          <w:szCs w:val="20"/>
        </w:rPr>
        <w:t xml:space="preserve">La Entidad  informa por </w:t>
      </w:r>
      <w:r w:rsidR="008919AF">
        <w:rPr>
          <w:sz w:val="20"/>
          <w:szCs w:val="20"/>
        </w:rPr>
        <w:t xml:space="preserve">conducto de </w:t>
      </w:r>
      <w:r w:rsidR="00127C22">
        <w:rPr>
          <w:sz w:val="20"/>
          <w:szCs w:val="20"/>
        </w:rPr>
        <w:t xml:space="preserve">la </w:t>
      </w:r>
      <w:r w:rsidR="008919AF" w:rsidRPr="00581F1F">
        <w:rPr>
          <w:sz w:val="20"/>
          <w:szCs w:val="20"/>
        </w:rPr>
        <w:t xml:space="preserve">Secretaría de </w:t>
      </w:r>
      <w:r w:rsidR="008919AF">
        <w:rPr>
          <w:sz w:val="20"/>
          <w:szCs w:val="20"/>
        </w:rPr>
        <w:t>Agricultura, Ganadería, Recursos Hidráulicos, Pesca  y Agricultura</w:t>
      </w:r>
      <w:r w:rsidR="008919AF" w:rsidRPr="00581F1F">
        <w:rPr>
          <w:sz w:val="20"/>
          <w:szCs w:val="20"/>
        </w:rPr>
        <w:t>,</w:t>
      </w:r>
      <w:r w:rsidR="008919AF">
        <w:rPr>
          <w:sz w:val="20"/>
          <w:szCs w:val="20"/>
        </w:rPr>
        <w:t xml:space="preserve"> como cabeza de sector. </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Eventos posteriores al cierre</w:t>
      </w:r>
    </w:p>
    <w:p w:rsidR="008E3343" w:rsidRPr="00581F1F" w:rsidRDefault="008E3343" w:rsidP="008E3343">
      <w:pPr>
        <w:pStyle w:val="Default"/>
        <w:jc w:val="both"/>
        <w:rPr>
          <w:sz w:val="20"/>
          <w:szCs w:val="20"/>
        </w:rPr>
      </w:pPr>
      <w:r w:rsidRPr="00581F1F">
        <w:rPr>
          <w:sz w:val="20"/>
          <w:szCs w:val="20"/>
        </w:rPr>
        <w:t xml:space="preserve">No hay eventos posteriores al cierre que afecten significativamente los estados financieros al </w:t>
      </w:r>
      <w:r w:rsidR="00AF1858">
        <w:rPr>
          <w:sz w:val="20"/>
          <w:szCs w:val="20"/>
        </w:rPr>
        <w:t>3</w:t>
      </w:r>
      <w:r w:rsidR="00127C22">
        <w:rPr>
          <w:sz w:val="20"/>
          <w:szCs w:val="20"/>
        </w:rPr>
        <w:t>0</w:t>
      </w:r>
      <w:r w:rsidRPr="00581F1F">
        <w:rPr>
          <w:sz w:val="20"/>
          <w:szCs w:val="20"/>
        </w:rPr>
        <w:t xml:space="preserve"> de </w:t>
      </w:r>
      <w:r w:rsidR="00127C22">
        <w:rPr>
          <w:sz w:val="20"/>
          <w:szCs w:val="20"/>
        </w:rPr>
        <w:t>junio</w:t>
      </w:r>
      <w:r w:rsidR="00F12366" w:rsidRPr="00581F1F">
        <w:rPr>
          <w:sz w:val="20"/>
          <w:szCs w:val="20"/>
        </w:rPr>
        <w:t xml:space="preserve"> </w:t>
      </w:r>
      <w:r w:rsidRPr="00581F1F">
        <w:rPr>
          <w:sz w:val="20"/>
          <w:szCs w:val="20"/>
        </w:rPr>
        <w:t>de 20</w:t>
      </w:r>
      <w:r w:rsidR="00FE6AF8">
        <w:rPr>
          <w:sz w:val="20"/>
          <w:szCs w:val="20"/>
        </w:rPr>
        <w:t>20</w:t>
      </w:r>
      <w:r w:rsidRPr="00581F1F">
        <w:rPr>
          <w:sz w:val="20"/>
          <w:szCs w:val="20"/>
        </w:rPr>
        <w:t>.</w:t>
      </w:r>
    </w:p>
    <w:p w:rsidR="005A7E66" w:rsidRPr="00581F1F" w:rsidRDefault="005A7E66"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Partes relacionadas</w:t>
      </w:r>
    </w:p>
    <w:p w:rsidR="008E3343" w:rsidRPr="00581F1F" w:rsidRDefault="008E3343" w:rsidP="008E3343">
      <w:pPr>
        <w:pStyle w:val="Default"/>
        <w:jc w:val="both"/>
        <w:rPr>
          <w:sz w:val="20"/>
          <w:szCs w:val="20"/>
        </w:rPr>
      </w:pPr>
      <w:r w:rsidRPr="00581F1F">
        <w:rPr>
          <w:sz w:val="20"/>
          <w:szCs w:val="20"/>
        </w:rPr>
        <w:t>No existen Partes Relacionadas que pudieran ejercer influencia significativa sobre la toma de decisiones financieras y operativas.</w:t>
      </w:r>
    </w:p>
    <w:p w:rsidR="008E3343" w:rsidRPr="00581F1F" w:rsidRDefault="008E3343" w:rsidP="008E3343">
      <w:pPr>
        <w:pStyle w:val="Default"/>
        <w:jc w:val="both"/>
        <w:rPr>
          <w:sz w:val="20"/>
          <w:szCs w:val="20"/>
        </w:rPr>
      </w:pPr>
    </w:p>
    <w:p w:rsidR="008E3343" w:rsidRPr="00581F1F" w:rsidRDefault="008E3343" w:rsidP="008E3343">
      <w:pPr>
        <w:pStyle w:val="Default"/>
        <w:numPr>
          <w:ilvl w:val="0"/>
          <w:numId w:val="31"/>
        </w:numPr>
        <w:jc w:val="both"/>
        <w:rPr>
          <w:b/>
          <w:sz w:val="20"/>
          <w:szCs w:val="20"/>
          <w:u w:val="single"/>
        </w:rPr>
      </w:pPr>
      <w:r w:rsidRPr="00581F1F">
        <w:rPr>
          <w:b/>
          <w:sz w:val="20"/>
          <w:szCs w:val="20"/>
          <w:u w:val="single"/>
        </w:rPr>
        <w:t>Responsabilidad sobre la Presentación Razonable de la Información contable</w:t>
      </w:r>
    </w:p>
    <w:p w:rsidR="008E3343" w:rsidRPr="00581F1F" w:rsidRDefault="008E3343" w:rsidP="008E3343">
      <w:pPr>
        <w:pStyle w:val="Default"/>
        <w:jc w:val="both"/>
        <w:rPr>
          <w:sz w:val="20"/>
          <w:szCs w:val="20"/>
        </w:rPr>
      </w:pPr>
      <w:r w:rsidRPr="00581F1F">
        <w:rPr>
          <w:sz w:val="20"/>
          <w:szCs w:val="20"/>
        </w:rPr>
        <w:t>Bajo protesta de decir verdad declaramos que los Estados Financieros y sus notas, son razonablemente correctos y son responsabilidad del emisor</w:t>
      </w:r>
    </w:p>
    <w:p w:rsidR="00103B44" w:rsidRPr="00581F1F" w:rsidRDefault="00103B44" w:rsidP="008E3343">
      <w:pPr>
        <w:pStyle w:val="Default"/>
        <w:jc w:val="both"/>
        <w:rPr>
          <w:sz w:val="20"/>
          <w:szCs w:val="20"/>
        </w:rPr>
      </w:pPr>
    </w:p>
    <w:p w:rsidR="00103B44" w:rsidRPr="00581F1F" w:rsidRDefault="00103B44" w:rsidP="008E3343">
      <w:pPr>
        <w:pStyle w:val="Default"/>
        <w:jc w:val="both"/>
        <w:rPr>
          <w:sz w:val="20"/>
          <w:szCs w:val="20"/>
        </w:rPr>
      </w:pPr>
    </w:p>
    <w:p w:rsidR="005F3445" w:rsidRPr="005F3445" w:rsidRDefault="00D750F3" w:rsidP="008E3343">
      <w:pPr>
        <w:pStyle w:val="Default"/>
        <w:jc w:val="both"/>
        <w:rPr>
          <w:sz w:val="20"/>
          <w:szCs w:val="20"/>
        </w:rPr>
      </w:pPr>
      <w:r w:rsidRPr="00581F1F">
        <w:rPr>
          <w:noProof/>
          <w:lang w:eastAsia="es-MX"/>
        </w:rPr>
        <mc:AlternateContent>
          <mc:Choice Requires="wps">
            <w:drawing>
              <wp:anchor distT="0" distB="0" distL="114300" distR="114300" simplePos="0" relativeHeight="251660288" behindDoc="0" locked="0" layoutInCell="1" allowOverlap="1" wp14:anchorId="5757F16D" wp14:editId="63D5C354">
                <wp:simplePos x="0" y="0"/>
                <wp:positionH relativeFrom="column">
                  <wp:posOffset>3420110</wp:posOffset>
                </wp:positionH>
                <wp:positionV relativeFrom="paragraph">
                  <wp:posOffset>364490</wp:posOffset>
                </wp:positionV>
                <wp:extent cx="2857500" cy="628650"/>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2857500" cy="628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A32E3" w:rsidRDefault="00FA32E3" w:rsidP="005F3445">
                            <w:pPr>
                              <w:pStyle w:val="NormalWeb"/>
                              <w:spacing w:before="0" w:beforeAutospacing="0" w:after="0" w:afterAutospacing="0"/>
                            </w:pPr>
                            <w:r>
                              <w:rPr>
                                <w:rFonts w:ascii="Arial" w:hAnsi="Arial" w:cs="Arial"/>
                                <w:color w:val="000000" w:themeColor="dark1"/>
                                <w:sz w:val="20"/>
                                <w:szCs w:val="20"/>
                              </w:rPr>
                              <w:t>_____________________________________</w:t>
                            </w:r>
                          </w:p>
                          <w:p w:rsidR="00FA32E3" w:rsidRDefault="00127C22" w:rsidP="005F3445">
                            <w:pPr>
                              <w:pStyle w:val="NormalWeb"/>
                              <w:spacing w:before="0" w:beforeAutospacing="0" w:after="0" w:afterAutospacing="0"/>
                              <w:jc w:val="center"/>
                            </w:pPr>
                            <w:r>
                              <w:rPr>
                                <w:rFonts w:ascii="Arial" w:hAnsi="Arial" w:cs="Arial"/>
                                <w:color w:val="000000" w:themeColor="dark1"/>
                                <w:sz w:val="20"/>
                                <w:szCs w:val="20"/>
                              </w:rPr>
                              <w:t>Mtra</w:t>
                            </w:r>
                            <w:r w:rsidR="00FA32E3">
                              <w:rPr>
                                <w:rFonts w:ascii="Arial" w:hAnsi="Arial" w:cs="Arial"/>
                                <w:color w:val="000000" w:themeColor="dark1"/>
                                <w:sz w:val="20"/>
                                <w:szCs w:val="20"/>
                              </w:rPr>
                              <w:t>. Ivonne H. De la Ree Cañez</w:t>
                            </w:r>
                          </w:p>
                          <w:p w:rsidR="00FA32E3" w:rsidRDefault="00FA32E3" w:rsidP="005F3445">
                            <w:pPr>
                              <w:pStyle w:val="NormalWeb"/>
                              <w:spacing w:before="0" w:beforeAutospacing="0" w:after="0" w:afterAutospacing="0"/>
                              <w:jc w:val="center"/>
                            </w:pPr>
                            <w:r>
                              <w:rPr>
                                <w:rFonts w:ascii="Arial" w:hAnsi="Arial" w:cs="Arial"/>
                                <w:color w:val="000000" w:themeColor="dark1"/>
                                <w:sz w:val="20"/>
                                <w:szCs w:val="20"/>
                              </w:rPr>
                              <w:t>Directora de Administración</w:t>
                            </w:r>
                          </w:p>
                        </w:txbxContent>
                      </wps:txbx>
                      <wps:bodyPr vertOverflow="clip" horzOverflow="clip" wrap="square" rtlCol="0" anchor="t"/>
                    </wps:wsp>
                  </a:graphicData>
                </a:graphic>
              </wp:anchor>
            </w:drawing>
          </mc:Choice>
          <mc:Fallback>
            <w:pict>
              <v:shapetype w14:anchorId="5757F16D" id="_x0000_t202" coordsize="21600,21600" o:spt="202" path="m,l,21600r21600,l21600,xe">
                <v:stroke joinstyle="miter"/>
                <v:path gradientshapeok="t" o:connecttype="rect"/>
              </v:shapetype>
              <v:shape id="5 CuadroTexto" o:spid="_x0000_s1026" type="#_x0000_t202" style="position:absolute;left:0;text-align:left;margin-left:269.3pt;margin-top:28.7pt;width:22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" filled="f" stroked="f">
                <v:textbox>
                  <w:txbxContent>
                    <w:p w:rsidR="00FA32E3" w:rsidRDefault="00FA32E3" w:rsidP="005F3445">
                      <w:pPr>
                        <w:pStyle w:val="NormalWeb"/>
                        <w:spacing w:before="0" w:beforeAutospacing="0" w:after="0" w:afterAutospacing="0"/>
                      </w:pPr>
                      <w:r>
                        <w:rPr>
                          <w:rFonts w:ascii="Arial" w:hAnsi="Arial" w:cs="Arial"/>
                          <w:color w:val="000000" w:themeColor="dark1"/>
                          <w:sz w:val="20"/>
                          <w:szCs w:val="20"/>
                        </w:rPr>
                        <w:t>_____________________________________</w:t>
                      </w:r>
                    </w:p>
                    <w:p w:rsidR="00FA32E3" w:rsidRDefault="00127C22" w:rsidP="005F3445">
                      <w:pPr>
                        <w:pStyle w:val="NormalWeb"/>
                        <w:spacing w:before="0" w:beforeAutospacing="0" w:after="0" w:afterAutospacing="0"/>
                        <w:jc w:val="center"/>
                      </w:pPr>
                      <w:r>
                        <w:rPr>
                          <w:rFonts w:ascii="Arial" w:hAnsi="Arial" w:cs="Arial"/>
                          <w:color w:val="000000" w:themeColor="dark1"/>
                          <w:sz w:val="20"/>
                          <w:szCs w:val="20"/>
                        </w:rPr>
                        <w:t>Mtra</w:t>
                      </w:r>
                      <w:r w:rsidR="00FA32E3">
                        <w:rPr>
                          <w:rFonts w:ascii="Arial" w:hAnsi="Arial" w:cs="Arial"/>
                          <w:color w:val="000000" w:themeColor="dark1"/>
                          <w:sz w:val="20"/>
                          <w:szCs w:val="20"/>
                        </w:rPr>
                        <w:t>. Ivonne H. De la Ree Cañez</w:t>
                      </w:r>
                    </w:p>
                    <w:p w:rsidR="00FA32E3" w:rsidRDefault="00FA32E3" w:rsidP="005F3445">
                      <w:pPr>
                        <w:pStyle w:val="NormalWeb"/>
                        <w:spacing w:before="0" w:beforeAutospacing="0" w:after="0" w:afterAutospacing="0"/>
                        <w:jc w:val="center"/>
                      </w:pPr>
                      <w:r>
                        <w:rPr>
                          <w:rFonts w:ascii="Arial" w:hAnsi="Arial" w:cs="Arial"/>
                          <w:color w:val="000000" w:themeColor="dark1"/>
                          <w:sz w:val="20"/>
                          <w:szCs w:val="20"/>
                        </w:rPr>
                        <w:t>Directora de Administración</w:t>
                      </w:r>
                    </w:p>
                  </w:txbxContent>
                </v:textbox>
              </v:shape>
            </w:pict>
          </mc:Fallback>
        </mc:AlternateContent>
      </w:r>
      <w:r w:rsidRPr="00581F1F">
        <w:rPr>
          <w:noProof/>
          <w:lang w:eastAsia="es-MX"/>
        </w:rPr>
        <mc:AlternateContent>
          <mc:Choice Requires="wps">
            <w:drawing>
              <wp:anchor distT="0" distB="0" distL="114300" distR="114300" simplePos="0" relativeHeight="251659264" behindDoc="0" locked="0" layoutInCell="1" allowOverlap="1" wp14:anchorId="1AB35A77" wp14:editId="6DA23EC0">
                <wp:simplePos x="0" y="0"/>
                <wp:positionH relativeFrom="column">
                  <wp:posOffset>313055</wp:posOffset>
                </wp:positionH>
                <wp:positionV relativeFrom="paragraph">
                  <wp:posOffset>377277</wp:posOffset>
                </wp:positionV>
                <wp:extent cx="2857500" cy="628650"/>
                <wp:effectExtent l="0" t="0" r="0" b="0"/>
                <wp:wrapNone/>
                <wp:docPr id="5" name="4 CuadroTexto"/>
                <wp:cNvGraphicFramePr/>
                <a:graphic xmlns:a="http://schemas.openxmlformats.org/drawingml/2006/main">
                  <a:graphicData uri="http://schemas.microsoft.com/office/word/2010/wordprocessingShape">
                    <wps:wsp>
                      <wps:cNvSpPr txBox="1"/>
                      <wps:spPr>
                        <a:xfrm>
                          <a:off x="0" y="0"/>
                          <a:ext cx="2857500" cy="6286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A32E3" w:rsidRDefault="00FA32E3" w:rsidP="005F3445">
                            <w:pPr>
                              <w:pStyle w:val="NormalWeb"/>
                              <w:spacing w:before="0" w:beforeAutospacing="0" w:after="0" w:afterAutospacing="0"/>
                            </w:pPr>
                            <w:r>
                              <w:rPr>
                                <w:rFonts w:ascii="Arial" w:hAnsi="Arial" w:cs="Arial"/>
                                <w:color w:val="000000" w:themeColor="dark1"/>
                                <w:sz w:val="20"/>
                                <w:szCs w:val="20"/>
                              </w:rPr>
                              <w:t>_____________________________________</w:t>
                            </w:r>
                          </w:p>
                          <w:p w:rsidR="00FA32E3" w:rsidRDefault="00FA32E3" w:rsidP="005F3445">
                            <w:pPr>
                              <w:pStyle w:val="NormalWeb"/>
                              <w:spacing w:before="0" w:beforeAutospacing="0" w:after="0" w:afterAutospacing="0"/>
                              <w:jc w:val="center"/>
                            </w:pPr>
                            <w:r>
                              <w:rPr>
                                <w:rFonts w:ascii="Arial" w:hAnsi="Arial" w:cs="Arial"/>
                                <w:color w:val="000000" w:themeColor="dark1"/>
                                <w:sz w:val="20"/>
                                <w:szCs w:val="20"/>
                              </w:rPr>
                              <w:t>Ing. Daniel Ibarra Guerra</w:t>
                            </w:r>
                          </w:p>
                          <w:p w:rsidR="00FA32E3" w:rsidRDefault="00FA32E3" w:rsidP="005F3445">
                            <w:pPr>
                              <w:pStyle w:val="NormalWeb"/>
                              <w:spacing w:before="0" w:beforeAutospacing="0" w:after="0" w:afterAutospacing="0"/>
                              <w:jc w:val="center"/>
                            </w:pPr>
                            <w:r>
                              <w:rPr>
                                <w:rFonts w:ascii="Arial" w:hAnsi="Arial" w:cs="Arial"/>
                                <w:color w:val="000000" w:themeColor="dark1"/>
                                <w:sz w:val="20"/>
                                <w:szCs w:val="20"/>
                              </w:rPr>
                              <w:t>Secretario Ejecutivo</w:t>
                            </w:r>
                          </w:p>
                        </w:txbxContent>
                      </wps:txbx>
                      <wps:bodyPr vertOverflow="clip" horzOverflow="clip" wrap="square" rtlCol="0" anchor="t"/>
                    </wps:wsp>
                  </a:graphicData>
                </a:graphic>
              </wp:anchor>
            </w:drawing>
          </mc:Choice>
          <mc:Fallback>
            <w:pict>
              <v:shape w14:anchorId="1AB35A77" id="4 CuadroTexto" o:spid="_x0000_s1027" type="#_x0000_t202" style="position:absolute;left:0;text-align:left;margin-left:24.65pt;margin-top:29.7pt;width:2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" filled="f" stroked="f">
                <v:textbox>
                  <w:txbxContent>
                    <w:p w:rsidR="00FA32E3" w:rsidRDefault="00FA32E3" w:rsidP="005F3445">
                      <w:pPr>
                        <w:pStyle w:val="NormalWeb"/>
                        <w:spacing w:before="0" w:beforeAutospacing="0" w:after="0" w:afterAutospacing="0"/>
                      </w:pPr>
                      <w:r>
                        <w:rPr>
                          <w:rFonts w:ascii="Arial" w:hAnsi="Arial" w:cs="Arial"/>
                          <w:color w:val="000000" w:themeColor="dark1"/>
                          <w:sz w:val="20"/>
                          <w:szCs w:val="20"/>
                        </w:rPr>
                        <w:t>_____________________________________</w:t>
                      </w:r>
                    </w:p>
                    <w:p w:rsidR="00FA32E3" w:rsidRDefault="00FA32E3" w:rsidP="005F3445">
                      <w:pPr>
                        <w:pStyle w:val="NormalWeb"/>
                        <w:spacing w:before="0" w:beforeAutospacing="0" w:after="0" w:afterAutospacing="0"/>
                        <w:jc w:val="center"/>
                      </w:pPr>
                      <w:r>
                        <w:rPr>
                          <w:rFonts w:ascii="Arial" w:hAnsi="Arial" w:cs="Arial"/>
                          <w:color w:val="000000" w:themeColor="dark1"/>
                          <w:sz w:val="20"/>
                          <w:szCs w:val="20"/>
                        </w:rPr>
                        <w:t>Ing. Daniel Ibarra Guerra</w:t>
                      </w:r>
                    </w:p>
                    <w:p w:rsidR="00FA32E3" w:rsidRDefault="00FA32E3" w:rsidP="005F3445">
                      <w:pPr>
                        <w:pStyle w:val="NormalWeb"/>
                        <w:spacing w:before="0" w:beforeAutospacing="0" w:after="0" w:afterAutospacing="0"/>
                        <w:jc w:val="center"/>
                      </w:pPr>
                      <w:r>
                        <w:rPr>
                          <w:rFonts w:ascii="Arial" w:hAnsi="Arial" w:cs="Arial"/>
                          <w:color w:val="000000" w:themeColor="dark1"/>
                          <w:sz w:val="20"/>
                          <w:szCs w:val="20"/>
                        </w:rPr>
                        <w:t>Secretario Ejecutivo</w:t>
                      </w:r>
                    </w:p>
                  </w:txbxContent>
                </v:textbox>
              </v:shape>
            </w:pict>
          </mc:Fallback>
        </mc:AlternateContent>
      </w:r>
    </w:p>
    <w:sectPr w:rsidR="005F3445" w:rsidRPr="005F3445" w:rsidSect="001053CE">
      <w:headerReference w:type="default" r:id="rId8"/>
      <w:footerReference w:type="default" r:id="rId9"/>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FB" w:rsidRDefault="004074FB" w:rsidP="00AE0A10">
      <w:r>
        <w:separator/>
      </w:r>
    </w:p>
  </w:endnote>
  <w:endnote w:type="continuationSeparator" w:id="0">
    <w:p w:rsidR="004074FB" w:rsidRDefault="004074FB" w:rsidP="00AE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83080292"/>
      <w:docPartObj>
        <w:docPartGallery w:val="Page Numbers (Bottom of Page)"/>
        <w:docPartUnique/>
      </w:docPartObj>
    </w:sdtPr>
    <w:sdtEndPr/>
    <w:sdtContent>
      <w:sdt>
        <w:sdtPr>
          <w:rPr>
            <w:rFonts w:ascii="Arial" w:hAnsi="Arial" w:cs="Arial"/>
            <w:sz w:val="20"/>
            <w:szCs w:val="20"/>
          </w:rPr>
          <w:id w:val="-1973366197"/>
          <w:docPartObj>
            <w:docPartGallery w:val="Page Numbers (Top of Page)"/>
            <w:docPartUnique/>
          </w:docPartObj>
        </w:sdtPr>
        <w:sdtEndPr/>
        <w:sdtContent>
          <w:p w:rsidR="00FA32E3" w:rsidRPr="005F3445" w:rsidRDefault="00FA32E3">
            <w:pPr>
              <w:pStyle w:val="Piedepgina"/>
              <w:jc w:val="right"/>
              <w:rPr>
                <w:rFonts w:ascii="Arial" w:hAnsi="Arial" w:cs="Arial"/>
                <w:sz w:val="20"/>
                <w:szCs w:val="20"/>
              </w:rPr>
            </w:pPr>
            <w:r w:rsidRPr="005F3445">
              <w:rPr>
                <w:rFonts w:ascii="Arial" w:hAnsi="Arial" w:cs="Arial"/>
                <w:sz w:val="20"/>
                <w:szCs w:val="20"/>
              </w:rPr>
              <w:t xml:space="preserve">Hoja </w:t>
            </w:r>
            <w:r w:rsidRPr="005F3445">
              <w:rPr>
                <w:rFonts w:ascii="Arial" w:hAnsi="Arial" w:cs="Arial"/>
                <w:b/>
                <w:bCs/>
                <w:sz w:val="20"/>
                <w:szCs w:val="20"/>
              </w:rPr>
              <w:fldChar w:fldCharType="begin"/>
            </w:r>
            <w:r w:rsidRPr="005F3445">
              <w:rPr>
                <w:rFonts w:ascii="Arial" w:hAnsi="Arial" w:cs="Arial"/>
                <w:b/>
                <w:bCs/>
                <w:sz w:val="20"/>
                <w:szCs w:val="20"/>
              </w:rPr>
              <w:instrText>PAGE</w:instrText>
            </w:r>
            <w:r w:rsidRPr="005F3445">
              <w:rPr>
                <w:rFonts w:ascii="Arial" w:hAnsi="Arial" w:cs="Arial"/>
                <w:b/>
                <w:bCs/>
                <w:sz w:val="20"/>
                <w:szCs w:val="20"/>
              </w:rPr>
              <w:fldChar w:fldCharType="separate"/>
            </w:r>
            <w:r w:rsidR="0023402A">
              <w:rPr>
                <w:rFonts w:ascii="Arial" w:hAnsi="Arial" w:cs="Arial"/>
                <w:b/>
                <w:bCs/>
                <w:noProof/>
                <w:sz w:val="20"/>
                <w:szCs w:val="20"/>
              </w:rPr>
              <w:t>4</w:t>
            </w:r>
            <w:r w:rsidRPr="005F3445">
              <w:rPr>
                <w:rFonts w:ascii="Arial" w:hAnsi="Arial" w:cs="Arial"/>
                <w:b/>
                <w:bCs/>
                <w:sz w:val="20"/>
                <w:szCs w:val="20"/>
              </w:rPr>
              <w:fldChar w:fldCharType="end"/>
            </w:r>
            <w:r w:rsidRPr="005F3445">
              <w:rPr>
                <w:rFonts w:ascii="Arial" w:hAnsi="Arial" w:cs="Arial"/>
                <w:sz w:val="20"/>
                <w:szCs w:val="20"/>
              </w:rPr>
              <w:t xml:space="preserve"> de </w:t>
            </w:r>
            <w:r w:rsidRPr="005F3445">
              <w:rPr>
                <w:rFonts w:ascii="Arial" w:hAnsi="Arial" w:cs="Arial"/>
                <w:b/>
                <w:bCs/>
                <w:sz w:val="20"/>
                <w:szCs w:val="20"/>
              </w:rPr>
              <w:fldChar w:fldCharType="begin"/>
            </w:r>
            <w:r w:rsidRPr="005F3445">
              <w:rPr>
                <w:rFonts w:ascii="Arial" w:hAnsi="Arial" w:cs="Arial"/>
                <w:b/>
                <w:bCs/>
                <w:sz w:val="20"/>
                <w:szCs w:val="20"/>
              </w:rPr>
              <w:instrText>NUMPAGES</w:instrText>
            </w:r>
            <w:r w:rsidRPr="005F3445">
              <w:rPr>
                <w:rFonts w:ascii="Arial" w:hAnsi="Arial" w:cs="Arial"/>
                <w:b/>
                <w:bCs/>
                <w:sz w:val="20"/>
                <w:szCs w:val="20"/>
              </w:rPr>
              <w:fldChar w:fldCharType="separate"/>
            </w:r>
            <w:r w:rsidR="0023402A">
              <w:rPr>
                <w:rFonts w:ascii="Arial" w:hAnsi="Arial" w:cs="Arial"/>
                <w:b/>
                <w:bCs/>
                <w:noProof/>
                <w:sz w:val="20"/>
                <w:szCs w:val="20"/>
              </w:rPr>
              <w:t>6</w:t>
            </w:r>
            <w:r w:rsidRPr="005F3445">
              <w:rPr>
                <w:rFonts w:ascii="Arial" w:hAnsi="Arial" w:cs="Arial"/>
                <w:b/>
                <w:bCs/>
                <w:sz w:val="20"/>
                <w:szCs w:val="20"/>
              </w:rPr>
              <w:fldChar w:fldCharType="end"/>
            </w:r>
          </w:p>
        </w:sdtContent>
      </w:sdt>
    </w:sdtContent>
  </w:sdt>
  <w:p w:rsidR="00FA32E3" w:rsidRPr="00485E05" w:rsidRDefault="00FA32E3" w:rsidP="00485E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FB" w:rsidRDefault="004074FB" w:rsidP="00AE0A10">
      <w:r>
        <w:separator/>
      </w:r>
    </w:p>
  </w:footnote>
  <w:footnote w:type="continuationSeparator" w:id="0">
    <w:p w:rsidR="004074FB" w:rsidRDefault="004074FB" w:rsidP="00AE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2E3" w:rsidRPr="00AE0A10" w:rsidRDefault="00FA32E3">
    <w:pPr>
      <w:pStyle w:val="Encabezado"/>
      <w:rPr>
        <w:rFonts w:ascii="Arial" w:hAnsi="Arial" w:cs="Arial"/>
        <w:b/>
        <w:sz w:val="18"/>
        <w:szCs w:val="18"/>
      </w:rPr>
    </w:pPr>
    <w:r>
      <w:tab/>
    </w:r>
    <w:r>
      <w:tab/>
    </w:r>
    <w:r>
      <w:tab/>
    </w:r>
    <w:r>
      <w:rPr>
        <w:rFonts w:ascii="Arial" w:hAnsi="Arial" w:cs="Arial"/>
        <w:b/>
        <w:sz w:val="18"/>
        <w:szCs w:val="18"/>
      </w:rPr>
      <w:t>ET</w:t>
    </w:r>
    <w:r w:rsidRPr="00AE0A10">
      <w:rPr>
        <w:rFonts w:ascii="Arial" w:hAnsi="Arial" w:cs="Arial"/>
        <w:b/>
        <w:sz w:val="18"/>
        <w:szCs w:val="18"/>
      </w:rPr>
      <w:t>CA-I-</w:t>
    </w:r>
    <w:r>
      <w:rPr>
        <w:rFonts w:ascii="Arial" w:hAnsi="Arial" w:cs="Arial"/>
        <w:b/>
        <w:sz w:val="18"/>
        <w:szCs w:val="18"/>
      </w:rPr>
      <w:t>12</w:t>
    </w:r>
  </w:p>
  <w:p w:rsidR="00FA32E3" w:rsidRPr="00AE0A10" w:rsidRDefault="00FA32E3"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FA32E3" w:rsidRPr="00AE0A10" w:rsidRDefault="00FA32E3" w:rsidP="00AE0A10">
    <w:pPr>
      <w:pStyle w:val="Encabezado"/>
      <w:jc w:val="center"/>
      <w:rPr>
        <w:rFonts w:ascii="Arial" w:hAnsi="Arial" w:cs="Arial"/>
        <w:b/>
        <w:sz w:val="18"/>
        <w:szCs w:val="18"/>
      </w:rPr>
    </w:pPr>
    <w:r>
      <w:rPr>
        <w:rFonts w:ascii="Arial" w:hAnsi="Arial" w:cs="Arial"/>
        <w:b/>
        <w:sz w:val="18"/>
        <w:szCs w:val="18"/>
      </w:rPr>
      <w:t>Notas a los Estados Financieros</w:t>
    </w:r>
  </w:p>
  <w:p w:rsidR="00FA32E3" w:rsidRDefault="00FA32E3" w:rsidP="00FC6249">
    <w:pPr>
      <w:pStyle w:val="Encabezado"/>
      <w:jc w:val="center"/>
      <w:rPr>
        <w:rFonts w:ascii="Arial" w:hAnsi="Arial" w:cs="Arial"/>
        <w:b/>
        <w:sz w:val="18"/>
        <w:szCs w:val="18"/>
      </w:rPr>
    </w:pPr>
    <w:r>
      <w:rPr>
        <w:rFonts w:ascii="Arial" w:hAnsi="Arial" w:cs="Arial"/>
        <w:b/>
        <w:sz w:val="18"/>
        <w:szCs w:val="18"/>
      </w:rPr>
      <w:t>Fideicomiso Maestro para el Financiamiento del Sector Agropecuario en Sonora</w:t>
    </w:r>
  </w:p>
  <w:p w:rsidR="00FA32E3" w:rsidRDefault="00FA32E3" w:rsidP="00FC6249">
    <w:pPr>
      <w:pStyle w:val="Encabezado"/>
      <w:jc w:val="center"/>
      <w:rPr>
        <w:rFonts w:ascii="Arial" w:hAnsi="Arial" w:cs="Arial"/>
        <w:b/>
        <w:sz w:val="16"/>
        <w:szCs w:val="16"/>
      </w:rPr>
    </w:pPr>
    <w:r>
      <w:rPr>
        <w:rFonts w:ascii="Arial" w:hAnsi="Arial" w:cs="Arial"/>
        <w:b/>
        <w:sz w:val="18"/>
        <w:szCs w:val="18"/>
      </w:rPr>
      <w:t>Al 3</w:t>
    </w:r>
    <w:r w:rsidR="006A0E8D">
      <w:rPr>
        <w:rFonts w:ascii="Arial" w:hAnsi="Arial" w:cs="Arial"/>
        <w:b/>
        <w:sz w:val="18"/>
        <w:szCs w:val="18"/>
      </w:rPr>
      <w:t>0</w:t>
    </w:r>
    <w:r>
      <w:rPr>
        <w:rFonts w:ascii="Arial" w:hAnsi="Arial" w:cs="Arial"/>
        <w:b/>
        <w:sz w:val="18"/>
        <w:szCs w:val="18"/>
      </w:rPr>
      <w:t xml:space="preserve"> de </w:t>
    </w:r>
    <w:r w:rsidR="006A0E8D">
      <w:rPr>
        <w:rFonts w:ascii="Arial" w:hAnsi="Arial" w:cs="Arial"/>
        <w:b/>
        <w:sz w:val="18"/>
        <w:szCs w:val="18"/>
      </w:rPr>
      <w:t>junio</w:t>
    </w:r>
    <w:r>
      <w:rPr>
        <w:rFonts w:ascii="Arial" w:hAnsi="Arial" w:cs="Arial"/>
        <w:b/>
        <w:sz w:val="18"/>
        <w:szCs w:val="18"/>
      </w:rPr>
      <w:t xml:space="preserve"> </w:t>
    </w:r>
    <w:r w:rsidRPr="00AE0A10">
      <w:rPr>
        <w:rFonts w:ascii="Arial" w:hAnsi="Arial" w:cs="Arial"/>
        <w:b/>
        <w:sz w:val="16"/>
        <w:szCs w:val="16"/>
      </w:rPr>
      <w:t xml:space="preserve"> de 20</w:t>
    </w:r>
    <w:r>
      <w:rPr>
        <w:rFonts w:ascii="Arial" w:hAnsi="Arial" w:cs="Arial"/>
        <w:b/>
        <w:sz w:val="16"/>
        <w:szCs w:val="16"/>
      </w:rPr>
      <w:t>20</w:t>
    </w:r>
  </w:p>
  <w:p w:rsidR="00FA32E3" w:rsidRPr="00FC6249" w:rsidRDefault="00FA32E3" w:rsidP="00C21A3F">
    <w:pPr>
      <w:pStyle w:val="Encabezado"/>
      <w:jc w:val="center"/>
      <w:rPr>
        <w:rFonts w:ascii="Arial" w:hAnsi="Arial" w:cs="Arial"/>
        <w:b/>
        <w:sz w:val="16"/>
        <w:szCs w:val="16"/>
      </w:rPr>
    </w:pPr>
    <w:r>
      <w:rPr>
        <w:rFonts w:ascii="Arial" w:hAnsi="Arial" w:cs="Arial"/>
        <w:sz w:val="16"/>
        <w:szCs w:val="16"/>
      </w:rPr>
      <w:t xml:space="preserve">                                                                                                           </w:t>
    </w:r>
    <w:r w:rsidRPr="00AE0A10">
      <w:rPr>
        <w:rFonts w:ascii="Arial" w:hAnsi="Arial" w:cs="Arial"/>
        <w:sz w:val="16"/>
        <w:szCs w:val="16"/>
      </w:rPr>
      <w:t>(PESOS)</w:t>
    </w:r>
    <w:r>
      <w:rPr>
        <w:rFonts w:ascii="Arial" w:hAnsi="Arial" w:cs="Arial"/>
        <w:sz w:val="16"/>
        <w:szCs w:val="16"/>
      </w:rPr>
      <w:t xml:space="preserve">                                                                        Trimestre: </w:t>
    </w:r>
    <w:r w:rsidR="006A0E8D">
      <w:rPr>
        <w:rFonts w:ascii="Arial" w:hAnsi="Arial" w:cs="Arial"/>
        <w:sz w:val="16"/>
        <w:szCs w:val="16"/>
      </w:rPr>
      <w:t>Segundo</w:t>
    </w:r>
    <w:r>
      <w:rPr>
        <w:rFonts w:ascii="Arial" w:hAnsi="Arial" w:cs="Arial"/>
        <w:sz w:val="16"/>
        <w:szCs w:val="16"/>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303"/>
    <w:multiLevelType w:val="hybridMultilevel"/>
    <w:tmpl w:val="943A0E58"/>
    <w:lvl w:ilvl="0" w:tplc="22EE8DD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17028C0"/>
    <w:multiLevelType w:val="hybridMultilevel"/>
    <w:tmpl w:val="023AB092"/>
    <w:lvl w:ilvl="0" w:tplc="776A94D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E05BB"/>
    <w:multiLevelType w:val="hybridMultilevel"/>
    <w:tmpl w:val="9AE601A0"/>
    <w:lvl w:ilvl="0" w:tplc="C200F88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9FF0E7C"/>
    <w:multiLevelType w:val="hybridMultilevel"/>
    <w:tmpl w:val="A35435A6"/>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B5F3E05"/>
    <w:multiLevelType w:val="hybridMultilevel"/>
    <w:tmpl w:val="5A607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393487"/>
    <w:multiLevelType w:val="hybridMultilevel"/>
    <w:tmpl w:val="9B802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D0329"/>
    <w:multiLevelType w:val="hybridMultilevel"/>
    <w:tmpl w:val="A1D63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3F51F1"/>
    <w:multiLevelType w:val="hybridMultilevel"/>
    <w:tmpl w:val="F25E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94D1B"/>
    <w:multiLevelType w:val="hybridMultilevel"/>
    <w:tmpl w:val="4DCC192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2234AA0"/>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E5AA3"/>
    <w:multiLevelType w:val="hybridMultilevel"/>
    <w:tmpl w:val="76B0B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FA13D2"/>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BA6257"/>
    <w:multiLevelType w:val="hybridMultilevel"/>
    <w:tmpl w:val="3B9EAB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0763F"/>
    <w:multiLevelType w:val="hybridMultilevel"/>
    <w:tmpl w:val="5F50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AB12AC"/>
    <w:multiLevelType w:val="hybridMultilevel"/>
    <w:tmpl w:val="A09C0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F767E0"/>
    <w:multiLevelType w:val="hybridMultilevel"/>
    <w:tmpl w:val="E3D4F6A4"/>
    <w:lvl w:ilvl="0" w:tplc="C70802E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3C405DB"/>
    <w:multiLevelType w:val="hybridMultilevel"/>
    <w:tmpl w:val="48C63ED4"/>
    <w:lvl w:ilvl="0" w:tplc="3182A0B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3FA0F47"/>
    <w:multiLevelType w:val="hybridMultilevel"/>
    <w:tmpl w:val="7D92ED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A7A6EC8"/>
    <w:multiLevelType w:val="hybridMultilevel"/>
    <w:tmpl w:val="7F30C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7F1997"/>
    <w:multiLevelType w:val="hybridMultilevel"/>
    <w:tmpl w:val="5A2A6E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346C97"/>
    <w:multiLevelType w:val="hybridMultilevel"/>
    <w:tmpl w:val="A4ACEE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425B54"/>
    <w:multiLevelType w:val="hybridMultilevel"/>
    <w:tmpl w:val="FF6CA090"/>
    <w:lvl w:ilvl="0" w:tplc="397844A0">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C35A3E"/>
    <w:multiLevelType w:val="hybridMultilevel"/>
    <w:tmpl w:val="6BF8A88E"/>
    <w:lvl w:ilvl="0" w:tplc="AEA0A826">
      <w:start w:val="1"/>
      <w:numFmt w:val="lowerLetter"/>
      <w:lvlText w:val="%1)"/>
      <w:lvlJc w:val="left"/>
      <w:pPr>
        <w:ind w:left="1218" w:hanging="570"/>
      </w:pPr>
      <w:rPr>
        <w:rFonts w:hint="default"/>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15:restartNumberingAfterBreak="0">
    <w:nsid w:val="521A0816"/>
    <w:multiLevelType w:val="hybridMultilevel"/>
    <w:tmpl w:val="DECCDDC2"/>
    <w:lvl w:ilvl="0" w:tplc="E50468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61091"/>
    <w:multiLevelType w:val="hybridMultilevel"/>
    <w:tmpl w:val="753271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05C63BC"/>
    <w:multiLevelType w:val="hybridMultilevel"/>
    <w:tmpl w:val="F7B6A54A"/>
    <w:lvl w:ilvl="0" w:tplc="FAD68DEC">
      <w:start w:val="4"/>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2053D5"/>
    <w:multiLevelType w:val="hybridMultilevel"/>
    <w:tmpl w:val="89005B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F32879"/>
    <w:multiLevelType w:val="hybridMultilevel"/>
    <w:tmpl w:val="152CACA6"/>
    <w:lvl w:ilvl="0" w:tplc="AA642E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BE63076"/>
    <w:multiLevelType w:val="hybridMultilevel"/>
    <w:tmpl w:val="E0328512"/>
    <w:lvl w:ilvl="0" w:tplc="5CF6A46A">
      <w:start w:val="1"/>
      <w:numFmt w:val="upp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BFB3BD8"/>
    <w:multiLevelType w:val="hybridMultilevel"/>
    <w:tmpl w:val="4B22D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F80DC4"/>
    <w:multiLevelType w:val="hybridMultilevel"/>
    <w:tmpl w:val="A1A49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8E1EA0"/>
    <w:multiLevelType w:val="hybridMultilevel"/>
    <w:tmpl w:val="C076E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2638B0"/>
    <w:multiLevelType w:val="hybridMultilevel"/>
    <w:tmpl w:val="FC5013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66A1AA7"/>
    <w:multiLevelType w:val="hybridMultilevel"/>
    <w:tmpl w:val="302EE1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B1331D"/>
    <w:multiLevelType w:val="hybridMultilevel"/>
    <w:tmpl w:val="C262E59E"/>
    <w:lvl w:ilvl="0" w:tplc="3550913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5" w15:restartNumberingAfterBreak="0">
    <w:nsid w:val="78831D81"/>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087F8D"/>
    <w:multiLevelType w:val="hybridMultilevel"/>
    <w:tmpl w:val="9FD8D1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
  </w:num>
  <w:num w:numId="3">
    <w:abstractNumId w:val="15"/>
  </w:num>
  <w:num w:numId="4">
    <w:abstractNumId w:val="34"/>
  </w:num>
  <w:num w:numId="5">
    <w:abstractNumId w:val="22"/>
  </w:num>
  <w:num w:numId="6">
    <w:abstractNumId w:val="7"/>
  </w:num>
  <w:num w:numId="7">
    <w:abstractNumId w:val="31"/>
  </w:num>
  <w:num w:numId="8">
    <w:abstractNumId w:val="5"/>
  </w:num>
  <w:num w:numId="9">
    <w:abstractNumId w:val="20"/>
  </w:num>
  <w:num w:numId="10">
    <w:abstractNumId w:val="30"/>
  </w:num>
  <w:num w:numId="11">
    <w:abstractNumId w:val="35"/>
  </w:num>
  <w:num w:numId="12">
    <w:abstractNumId w:val="23"/>
  </w:num>
  <w:num w:numId="13">
    <w:abstractNumId w:val="3"/>
  </w:num>
  <w:num w:numId="14">
    <w:abstractNumId w:val="16"/>
  </w:num>
  <w:num w:numId="15">
    <w:abstractNumId w:val="32"/>
  </w:num>
  <w:num w:numId="16">
    <w:abstractNumId w:val="17"/>
  </w:num>
  <w:num w:numId="17">
    <w:abstractNumId w:val="1"/>
  </w:num>
  <w:num w:numId="18">
    <w:abstractNumId w:val="24"/>
  </w:num>
  <w:num w:numId="19">
    <w:abstractNumId w:val="11"/>
  </w:num>
  <w:num w:numId="20">
    <w:abstractNumId w:val="9"/>
  </w:num>
  <w:num w:numId="21">
    <w:abstractNumId w:val="18"/>
  </w:num>
  <w:num w:numId="22">
    <w:abstractNumId w:val="28"/>
  </w:num>
  <w:num w:numId="23">
    <w:abstractNumId w:val="0"/>
  </w:num>
  <w:num w:numId="24">
    <w:abstractNumId w:val="21"/>
  </w:num>
  <w:num w:numId="25">
    <w:abstractNumId w:val="29"/>
  </w:num>
  <w:num w:numId="26">
    <w:abstractNumId w:val="4"/>
  </w:num>
  <w:num w:numId="27">
    <w:abstractNumId w:val="10"/>
  </w:num>
  <w:num w:numId="28">
    <w:abstractNumId w:val="14"/>
  </w:num>
  <w:num w:numId="29">
    <w:abstractNumId w:val="12"/>
  </w:num>
  <w:num w:numId="30">
    <w:abstractNumId w:val="36"/>
  </w:num>
  <w:num w:numId="31">
    <w:abstractNumId w:val="6"/>
  </w:num>
  <w:num w:numId="32">
    <w:abstractNumId w:val="8"/>
  </w:num>
  <w:num w:numId="33">
    <w:abstractNumId w:val="26"/>
  </w:num>
  <w:num w:numId="34">
    <w:abstractNumId w:val="13"/>
  </w:num>
  <w:num w:numId="35">
    <w:abstractNumId w:val="19"/>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86"/>
    <w:rsid w:val="00007BA2"/>
    <w:rsid w:val="000116D0"/>
    <w:rsid w:val="000149BD"/>
    <w:rsid w:val="00035614"/>
    <w:rsid w:val="00037999"/>
    <w:rsid w:val="00042844"/>
    <w:rsid w:val="00052840"/>
    <w:rsid w:val="0005541A"/>
    <w:rsid w:val="000619BC"/>
    <w:rsid w:val="000632D5"/>
    <w:rsid w:val="0006441D"/>
    <w:rsid w:val="00090C6E"/>
    <w:rsid w:val="000914B8"/>
    <w:rsid w:val="000924AC"/>
    <w:rsid w:val="00093D0D"/>
    <w:rsid w:val="00095D93"/>
    <w:rsid w:val="000A5C77"/>
    <w:rsid w:val="000B23FD"/>
    <w:rsid w:val="000C0589"/>
    <w:rsid w:val="000C6040"/>
    <w:rsid w:val="000C6157"/>
    <w:rsid w:val="000D09C9"/>
    <w:rsid w:val="000E0C9E"/>
    <w:rsid w:val="000E36B9"/>
    <w:rsid w:val="000E721D"/>
    <w:rsid w:val="000F14A3"/>
    <w:rsid w:val="00103B44"/>
    <w:rsid w:val="001049B4"/>
    <w:rsid w:val="001053CE"/>
    <w:rsid w:val="00114061"/>
    <w:rsid w:val="0011573D"/>
    <w:rsid w:val="00116E92"/>
    <w:rsid w:val="001208E4"/>
    <w:rsid w:val="0012132D"/>
    <w:rsid w:val="0012448A"/>
    <w:rsid w:val="00127C22"/>
    <w:rsid w:val="0013767E"/>
    <w:rsid w:val="0014484C"/>
    <w:rsid w:val="00145F8F"/>
    <w:rsid w:val="00151D40"/>
    <w:rsid w:val="00154E20"/>
    <w:rsid w:val="0016350B"/>
    <w:rsid w:val="00175D85"/>
    <w:rsid w:val="00180430"/>
    <w:rsid w:val="001809F3"/>
    <w:rsid w:val="00184A7C"/>
    <w:rsid w:val="00187428"/>
    <w:rsid w:val="001A2438"/>
    <w:rsid w:val="001A2F8A"/>
    <w:rsid w:val="001A6269"/>
    <w:rsid w:val="001A74EA"/>
    <w:rsid w:val="001B2298"/>
    <w:rsid w:val="001B35D9"/>
    <w:rsid w:val="001C0072"/>
    <w:rsid w:val="001D3A49"/>
    <w:rsid w:val="001D7494"/>
    <w:rsid w:val="001D7ABE"/>
    <w:rsid w:val="001E6DC4"/>
    <w:rsid w:val="002012CB"/>
    <w:rsid w:val="00214C34"/>
    <w:rsid w:val="002302DC"/>
    <w:rsid w:val="0023402A"/>
    <w:rsid w:val="00244533"/>
    <w:rsid w:val="00247D65"/>
    <w:rsid w:val="00250C1B"/>
    <w:rsid w:val="00253563"/>
    <w:rsid w:val="0026195E"/>
    <w:rsid w:val="002646DE"/>
    <w:rsid w:val="00264DE2"/>
    <w:rsid w:val="002802AE"/>
    <w:rsid w:val="00280A0D"/>
    <w:rsid w:val="0028426A"/>
    <w:rsid w:val="00291716"/>
    <w:rsid w:val="00292D8B"/>
    <w:rsid w:val="002939CD"/>
    <w:rsid w:val="002957D8"/>
    <w:rsid w:val="002A3EF5"/>
    <w:rsid w:val="002B3714"/>
    <w:rsid w:val="002B40DE"/>
    <w:rsid w:val="002B5D27"/>
    <w:rsid w:val="002B6CE6"/>
    <w:rsid w:val="002C24E7"/>
    <w:rsid w:val="002D19E5"/>
    <w:rsid w:val="002D4AB4"/>
    <w:rsid w:val="00305E11"/>
    <w:rsid w:val="00311B01"/>
    <w:rsid w:val="0032103B"/>
    <w:rsid w:val="0032588E"/>
    <w:rsid w:val="00331C1E"/>
    <w:rsid w:val="00333115"/>
    <w:rsid w:val="00334008"/>
    <w:rsid w:val="00340378"/>
    <w:rsid w:val="00356414"/>
    <w:rsid w:val="003667AD"/>
    <w:rsid w:val="00366F04"/>
    <w:rsid w:val="00375F25"/>
    <w:rsid w:val="00381DF5"/>
    <w:rsid w:val="0038791D"/>
    <w:rsid w:val="00393E9C"/>
    <w:rsid w:val="00394D00"/>
    <w:rsid w:val="003950E4"/>
    <w:rsid w:val="00395654"/>
    <w:rsid w:val="003A29AD"/>
    <w:rsid w:val="003B4142"/>
    <w:rsid w:val="003C5119"/>
    <w:rsid w:val="003C6AAE"/>
    <w:rsid w:val="003D3B23"/>
    <w:rsid w:val="003E161A"/>
    <w:rsid w:val="003E24C3"/>
    <w:rsid w:val="003F06A7"/>
    <w:rsid w:val="003F2992"/>
    <w:rsid w:val="004074FB"/>
    <w:rsid w:val="00407DFD"/>
    <w:rsid w:val="00410E1B"/>
    <w:rsid w:val="00410FDA"/>
    <w:rsid w:val="00415314"/>
    <w:rsid w:val="00416D14"/>
    <w:rsid w:val="0042023F"/>
    <w:rsid w:val="00420C82"/>
    <w:rsid w:val="0042201B"/>
    <w:rsid w:val="004341B3"/>
    <w:rsid w:val="00462C82"/>
    <w:rsid w:val="00481DBB"/>
    <w:rsid w:val="00485E05"/>
    <w:rsid w:val="00492A27"/>
    <w:rsid w:val="00492E17"/>
    <w:rsid w:val="004A4E2D"/>
    <w:rsid w:val="004C4435"/>
    <w:rsid w:val="004C677E"/>
    <w:rsid w:val="004D4ACB"/>
    <w:rsid w:val="004E3414"/>
    <w:rsid w:val="004E37AC"/>
    <w:rsid w:val="004F3A86"/>
    <w:rsid w:val="004F7FC1"/>
    <w:rsid w:val="00504EE2"/>
    <w:rsid w:val="005112BA"/>
    <w:rsid w:val="00522934"/>
    <w:rsid w:val="00534314"/>
    <w:rsid w:val="00537E99"/>
    <w:rsid w:val="005413B1"/>
    <w:rsid w:val="00551751"/>
    <w:rsid w:val="00551F4E"/>
    <w:rsid w:val="00555E86"/>
    <w:rsid w:val="00556A0E"/>
    <w:rsid w:val="00562C9A"/>
    <w:rsid w:val="00563C0E"/>
    <w:rsid w:val="00565A9C"/>
    <w:rsid w:val="005751EC"/>
    <w:rsid w:val="00581F1F"/>
    <w:rsid w:val="005834B2"/>
    <w:rsid w:val="0059068D"/>
    <w:rsid w:val="00593F19"/>
    <w:rsid w:val="005A1EDF"/>
    <w:rsid w:val="005A2646"/>
    <w:rsid w:val="005A7E66"/>
    <w:rsid w:val="005A7EBD"/>
    <w:rsid w:val="005C09F7"/>
    <w:rsid w:val="005D1DE1"/>
    <w:rsid w:val="005E17EB"/>
    <w:rsid w:val="005E6080"/>
    <w:rsid w:val="005F0379"/>
    <w:rsid w:val="005F1017"/>
    <w:rsid w:val="005F3445"/>
    <w:rsid w:val="006004C1"/>
    <w:rsid w:val="0060584C"/>
    <w:rsid w:val="0062440F"/>
    <w:rsid w:val="006248ED"/>
    <w:rsid w:val="00625E68"/>
    <w:rsid w:val="006310B2"/>
    <w:rsid w:val="00631B78"/>
    <w:rsid w:val="00633C92"/>
    <w:rsid w:val="0065228E"/>
    <w:rsid w:val="00652A62"/>
    <w:rsid w:val="00661589"/>
    <w:rsid w:val="00662F7D"/>
    <w:rsid w:val="00666798"/>
    <w:rsid w:val="00684A5A"/>
    <w:rsid w:val="00684BC4"/>
    <w:rsid w:val="00687472"/>
    <w:rsid w:val="006A0E8D"/>
    <w:rsid w:val="006B73D1"/>
    <w:rsid w:val="006D02B2"/>
    <w:rsid w:val="006D4BEB"/>
    <w:rsid w:val="006E2A27"/>
    <w:rsid w:val="006E4C7E"/>
    <w:rsid w:val="006E4CA2"/>
    <w:rsid w:val="006E78BD"/>
    <w:rsid w:val="0070456A"/>
    <w:rsid w:val="00707579"/>
    <w:rsid w:val="00711BEF"/>
    <w:rsid w:val="00713060"/>
    <w:rsid w:val="00720A60"/>
    <w:rsid w:val="00722E26"/>
    <w:rsid w:val="00743A84"/>
    <w:rsid w:val="007505B7"/>
    <w:rsid w:val="00750C62"/>
    <w:rsid w:val="00765599"/>
    <w:rsid w:val="00772B68"/>
    <w:rsid w:val="0077769E"/>
    <w:rsid w:val="00783E68"/>
    <w:rsid w:val="00785C04"/>
    <w:rsid w:val="007A45A6"/>
    <w:rsid w:val="007A6141"/>
    <w:rsid w:val="007B3D0E"/>
    <w:rsid w:val="007C7E84"/>
    <w:rsid w:val="007C7F50"/>
    <w:rsid w:val="007D7725"/>
    <w:rsid w:val="007E2ACB"/>
    <w:rsid w:val="007E372B"/>
    <w:rsid w:val="007E5903"/>
    <w:rsid w:val="007F20F5"/>
    <w:rsid w:val="007F649A"/>
    <w:rsid w:val="00804393"/>
    <w:rsid w:val="008206CE"/>
    <w:rsid w:val="008248E9"/>
    <w:rsid w:val="00825B48"/>
    <w:rsid w:val="008304A8"/>
    <w:rsid w:val="00832384"/>
    <w:rsid w:val="00835E92"/>
    <w:rsid w:val="008651D0"/>
    <w:rsid w:val="00866C53"/>
    <w:rsid w:val="008803C9"/>
    <w:rsid w:val="00887FE9"/>
    <w:rsid w:val="008919AF"/>
    <w:rsid w:val="00892C9D"/>
    <w:rsid w:val="008A1C2B"/>
    <w:rsid w:val="008A1E7A"/>
    <w:rsid w:val="008D0B37"/>
    <w:rsid w:val="008E3343"/>
    <w:rsid w:val="008F01F5"/>
    <w:rsid w:val="008F4CF1"/>
    <w:rsid w:val="008F5BAC"/>
    <w:rsid w:val="00903793"/>
    <w:rsid w:val="009306CB"/>
    <w:rsid w:val="00931B98"/>
    <w:rsid w:val="0094505D"/>
    <w:rsid w:val="00946150"/>
    <w:rsid w:val="00960DAF"/>
    <w:rsid w:val="00962CE8"/>
    <w:rsid w:val="009673DB"/>
    <w:rsid w:val="0099153B"/>
    <w:rsid w:val="009D4D70"/>
    <w:rsid w:val="009D6275"/>
    <w:rsid w:val="009D65E6"/>
    <w:rsid w:val="00A07E59"/>
    <w:rsid w:val="00A12E38"/>
    <w:rsid w:val="00A1489A"/>
    <w:rsid w:val="00A23CDF"/>
    <w:rsid w:val="00A35C2E"/>
    <w:rsid w:val="00A40D88"/>
    <w:rsid w:val="00A548DD"/>
    <w:rsid w:val="00A6259A"/>
    <w:rsid w:val="00A6338A"/>
    <w:rsid w:val="00A66573"/>
    <w:rsid w:val="00A71B86"/>
    <w:rsid w:val="00A734B1"/>
    <w:rsid w:val="00A812CD"/>
    <w:rsid w:val="00A85111"/>
    <w:rsid w:val="00A86824"/>
    <w:rsid w:val="00A93AB7"/>
    <w:rsid w:val="00AA7DFB"/>
    <w:rsid w:val="00AC1001"/>
    <w:rsid w:val="00AC66EF"/>
    <w:rsid w:val="00AD0310"/>
    <w:rsid w:val="00AD1417"/>
    <w:rsid w:val="00AE0A10"/>
    <w:rsid w:val="00AE5873"/>
    <w:rsid w:val="00AF1858"/>
    <w:rsid w:val="00B10249"/>
    <w:rsid w:val="00B2118D"/>
    <w:rsid w:val="00B26069"/>
    <w:rsid w:val="00B31833"/>
    <w:rsid w:val="00B363B8"/>
    <w:rsid w:val="00B41AF3"/>
    <w:rsid w:val="00B5062D"/>
    <w:rsid w:val="00B5498C"/>
    <w:rsid w:val="00B54CA9"/>
    <w:rsid w:val="00B66AFC"/>
    <w:rsid w:val="00B83173"/>
    <w:rsid w:val="00B834C8"/>
    <w:rsid w:val="00B90847"/>
    <w:rsid w:val="00B91C9C"/>
    <w:rsid w:val="00B934C3"/>
    <w:rsid w:val="00BA4049"/>
    <w:rsid w:val="00BB18E5"/>
    <w:rsid w:val="00BB198C"/>
    <w:rsid w:val="00BB7DE5"/>
    <w:rsid w:val="00BC66BB"/>
    <w:rsid w:val="00BD29E7"/>
    <w:rsid w:val="00BE53F3"/>
    <w:rsid w:val="00BE56AC"/>
    <w:rsid w:val="00BE7E91"/>
    <w:rsid w:val="00C00BDD"/>
    <w:rsid w:val="00C03D2A"/>
    <w:rsid w:val="00C14C4E"/>
    <w:rsid w:val="00C21A3F"/>
    <w:rsid w:val="00C24C68"/>
    <w:rsid w:val="00C2504F"/>
    <w:rsid w:val="00C260C4"/>
    <w:rsid w:val="00C27506"/>
    <w:rsid w:val="00C30E16"/>
    <w:rsid w:val="00C32CDF"/>
    <w:rsid w:val="00C43A61"/>
    <w:rsid w:val="00C641A9"/>
    <w:rsid w:val="00C6425F"/>
    <w:rsid w:val="00C659C5"/>
    <w:rsid w:val="00C8504A"/>
    <w:rsid w:val="00C90B5E"/>
    <w:rsid w:val="00C97489"/>
    <w:rsid w:val="00CA70C4"/>
    <w:rsid w:val="00CB6EB1"/>
    <w:rsid w:val="00CB7989"/>
    <w:rsid w:val="00CC1EAF"/>
    <w:rsid w:val="00CC2BC5"/>
    <w:rsid w:val="00CD01C0"/>
    <w:rsid w:val="00CD2F2D"/>
    <w:rsid w:val="00CE4BC7"/>
    <w:rsid w:val="00CF1E47"/>
    <w:rsid w:val="00D05EBC"/>
    <w:rsid w:val="00D25E22"/>
    <w:rsid w:val="00D27E0D"/>
    <w:rsid w:val="00D4407F"/>
    <w:rsid w:val="00D52D08"/>
    <w:rsid w:val="00D750F3"/>
    <w:rsid w:val="00D807C8"/>
    <w:rsid w:val="00D81085"/>
    <w:rsid w:val="00D8447B"/>
    <w:rsid w:val="00D924FC"/>
    <w:rsid w:val="00D92E5D"/>
    <w:rsid w:val="00DA0790"/>
    <w:rsid w:val="00DA087E"/>
    <w:rsid w:val="00DA22E9"/>
    <w:rsid w:val="00DB0DB8"/>
    <w:rsid w:val="00DC4356"/>
    <w:rsid w:val="00DD62BD"/>
    <w:rsid w:val="00DE3641"/>
    <w:rsid w:val="00DE67C5"/>
    <w:rsid w:val="00DE67E3"/>
    <w:rsid w:val="00DF0A4E"/>
    <w:rsid w:val="00E118D9"/>
    <w:rsid w:val="00E11906"/>
    <w:rsid w:val="00E15CCE"/>
    <w:rsid w:val="00E20475"/>
    <w:rsid w:val="00E23BB0"/>
    <w:rsid w:val="00E35008"/>
    <w:rsid w:val="00E53253"/>
    <w:rsid w:val="00E56378"/>
    <w:rsid w:val="00E85C1E"/>
    <w:rsid w:val="00E870E9"/>
    <w:rsid w:val="00E90D94"/>
    <w:rsid w:val="00E940EF"/>
    <w:rsid w:val="00EA2A73"/>
    <w:rsid w:val="00EA51C2"/>
    <w:rsid w:val="00EC2786"/>
    <w:rsid w:val="00EC7D31"/>
    <w:rsid w:val="00ED2408"/>
    <w:rsid w:val="00ED6A55"/>
    <w:rsid w:val="00EE25D1"/>
    <w:rsid w:val="00EE3828"/>
    <w:rsid w:val="00EE44B2"/>
    <w:rsid w:val="00EF56A0"/>
    <w:rsid w:val="00EF700D"/>
    <w:rsid w:val="00EF7488"/>
    <w:rsid w:val="00F04D5C"/>
    <w:rsid w:val="00F12366"/>
    <w:rsid w:val="00F13F04"/>
    <w:rsid w:val="00F143E3"/>
    <w:rsid w:val="00F168D3"/>
    <w:rsid w:val="00F20491"/>
    <w:rsid w:val="00F23586"/>
    <w:rsid w:val="00F307CE"/>
    <w:rsid w:val="00F31859"/>
    <w:rsid w:val="00F42596"/>
    <w:rsid w:val="00F63FF7"/>
    <w:rsid w:val="00F7766E"/>
    <w:rsid w:val="00F77990"/>
    <w:rsid w:val="00F80D73"/>
    <w:rsid w:val="00F8286D"/>
    <w:rsid w:val="00F82E38"/>
    <w:rsid w:val="00F85F51"/>
    <w:rsid w:val="00F96F52"/>
    <w:rsid w:val="00FA0535"/>
    <w:rsid w:val="00FA32E3"/>
    <w:rsid w:val="00FA36E1"/>
    <w:rsid w:val="00FB28F4"/>
    <w:rsid w:val="00FC0768"/>
    <w:rsid w:val="00FC6249"/>
    <w:rsid w:val="00FD06CF"/>
    <w:rsid w:val="00FE0A64"/>
    <w:rsid w:val="00FE34A1"/>
    <w:rsid w:val="00FE3C02"/>
    <w:rsid w:val="00FE5AFD"/>
    <w:rsid w:val="00FE6AF8"/>
    <w:rsid w:val="00FF5828"/>
    <w:rsid w:val="00FF6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A44BA3-F74D-4289-8B24-F7BD2C39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customStyle="1" w:styleId="Texto">
    <w:name w:val="Texto"/>
    <w:basedOn w:val="Normal"/>
    <w:link w:val="TextoCar"/>
    <w:qFormat/>
    <w:rsid w:val="003A29AD"/>
    <w:pPr>
      <w:spacing w:after="101" w:line="216" w:lineRule="exact"/>
      <w:ind w:firstLine="288"/>
      <w:jc w:val="both"/>
    </w:pPr>
    <w:rPr>
      <w:rFonts w:ascii="Arial" w:hAnsi="Arial" w:cs="Arial"/>
      <w:sz w:val="18"/>
      <w:szCs w:val="20"/>
    </w:rPr>
  </w:style>
  <w:style w:type="paragraph" w:customStyle="1" w:styleId="ROMANOS">
    <w:name w:val="ROMANOS"/>
    <w:basedOn w:val="Normal"/>
    <w:rsid w:val="003A29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A29AD"/>
    <w:pPr>
      <w:spacing w:after="101" w:line="216" w:lineRule="exact"/>
      <w:ind w:left="1080" w:hanging="360"/>
      <w:jc w:val="both"/>
    </w:pPr>
    <w:rPr>
      <w:rFonts w:ascii="Arial" w:hAnsi="Arial" w:cs="Arial"/>
      <w:sz w:val="18"/>
      <w:szCs w:val="18"/>
    </w:rPr>
  </w:style>
  <w:style w:type="table" w:styleId="Tablaconcuadrcula">
    <w:name w:val="Table Grid"/>
    <w:basedOn w:val="Tablanormal"/>
    <w:uiPriority w:val="59"/>
    <w:rsid w:val="003A29A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C34"/>
    <w:pPr>
      <w:autoSpaceDE w:val="0"/>
      <w:autoSpaceDN w:val="0"/>
      <w:adjustRightInd w:val="0"/>
      <w:spacing w:after="0" w:line="240" w:lineRule="auto"/>
    </w:pPr>
    <w:rPr>
      <w:rFonts w:ascii="Arial" w:hAnsi="Arial" w:cs="Arial"/>
      <w:color w:val="000000"/>
      <w:sz w:val="24"/>
      <w:szCs w:val="24"/>
      <w:lang w:val="es-MX"/>
    </w:rPr>
  </w:style>
  <w:style w:type="character" w:customStyle="1" w:styleId="TextoCar">
    <w:name w:val="Texto Car"/>
    <w:link w:val="Texto"/>
    <w:locked/>
    <w:rsid w:val="00214C34"/>
    <w:rPr>
      <w:rFonts w:ascii="Arial" w:eastAsia="Times New Roman" w:hAnsi="Arial" w:cs="Arial"/>
      <w:sz w:val="18"/>
      <w:szCs w:val="20"/>
      <w:lang w:eastAsia="es-ES"/>
    </w:rPr>
  </w:style>
  <w:style w:type="paragraph" w:styleId="Prrafodelista">
    <w:name w:val="List Paragraph"/>
    <w:basedOn w:val="Normal"/>
    <w:uiPriority w:val="34"/>
    <w:qFormat/>
    <w:rsid w:val="00214C34"/>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semiHidden/>
    <w:rsid w:val="00214C34"/>
    <w:rPr>
      <w:sz w:val="16"/>
      <w:szCs w:val="16"/>
    </w:rPr>
  </w:style>
  <w:style w:type="paragraph" w:styleId="Textocomentario">
    <w:name w:val="annotation text"/>
    <w:basedOn w:val="Normal"/>
    <w:link w:val="TextocomentarioCar"/>
    <w:semiHidden/>
    <w:rsid w:val="00214C34"/>
    <w:rPr>
      <w:sz w:val="20"/>
      <w:szCs w:val="20"/>
    </w:rPr>
  </w:style>
  <w:style w:type="character" w:customStyle="1" w:styleId="TextocomentarioCar">
    <w:name w:val="Texto comentario Car"/>
    <w:basedOn w:val="Fuentedeprrafopredeter"/>
    <w:link w:val="Textocomentario"/>
    <w:semiHidden/>
    <w:rsid w:val="00214C34"/>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214C34"/>
    <w:rPr>
      <w:i/>
      <w:iCs/>
    </w:rPr>
  </w:style>
  <w:style w:type="paragraph" w:styleId="NormalWeb">
    <w:name w:val="Normal (Web)"/>
    <w:basedOn w:val="Normal"/>
    <w:uiPriority w:val="99"/>
    <w:semiHidden/>
    <w:unhideWhenUsed/>
    <w:rsid w:val="005F3445"/>
    <w:pPr>
      <w:spacing w:before="100" w:beforeAutospacing="1" w:after="100" w:afterAutospacing="1"/>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522">
      <w:bodyDiv w:val="1"/>
      <w:marLeft w:val="0"/>
      <w:marRight w:val="0"/>
      <w:marTop w:val="0"/>
      <w:marBottom w:val="0"/>
      <w:divBdr>
        <w:top w:val="none" w:sz="0" w:space="0" w:color="auto"/>
        <w:left w:val="none" w:sz="0" w:space="0" w:color="auto"/>
        <w:bottom w:val="none" w:sz="0" w:space="0" w:color="auto"/>
        <w:right w:val="none" w:sz="0" w:space="0" w:color="auto"/>
      </w:divBdr>
    </w:div>
    <w:div w:id="163396580">
      <w:bodyDiv w:val="1"/>
      <w:marLeft w:val="0"/>
      <w:marRight w:val="0"/>
      <w:marTop w:val="0"/>
      <w:marBottom w:val="0"/>
      <w:divBdr>
        <w:top w:val="none" w:sz="0" w:space="0" w:color="auto"/>
        <w:left w:val="none" w:sz="0" w:space="0" w:color="auto"/>
        <w:bottom w:val="none" w:sz="0" w:space="0" w:color="auto"/>
        <w:right w:val="none" w:sz="0" w:space="0" w:color="auto"/>
      </w:divBdr>
    </w:div>
    <w:div w:id="170721699">
      <w:bodyDiv w:val="1"/>
      <w:marLeft w:val="0"/>
      <w:marRight w:val="0"/>
      <w:marTop w:val="0"/>
      <w:marBottom w:val="0"/>
      <w:divBdr>
        <w:top w:val="none" w:sz="0" w:space="0" w:color="auto"/>
        <w:left w:val="none" w:sz="0" w:space="0" w:color="auto"/>
        <w:bottom w:val="none" w:sz="0" w:space="0" w:color="auto"/>
        <w:right w:val="none" w:sz="0" w:space="0" w:color="auto"/>
      </w:divBdr>
    </w:div>
    <w:div w:id="197162253">
      <w:bodyDiv w:val="1"/>
      <w:marLeft w:val="0"/>
      <w:marRight w:val="0"/>
      <w:marTop w:val="0"/>
      <w:marBottom w:val="0"/>
      <w:divBdr>
        <w:top w:val="none" w:sz="0" w:space="0" w:color="auto"/>
        <w:left w:val="none" w:sz="0" w:space="0" w:color="auto"/>
        <w:bottom w:val="none" w:sz="0" w:space="0" w:color="auto"/>
        <w:right w:val="none" w:sz="0" w:space="0" w:color="auto"/>
      </w:divBdr>
    </w:div>
    <w:div w:id="278799829">
      <w:bodyDiv w:val="1"/>
      <w:marLeft w:val="0"/>
      <w:marRight w:val="0"/>
      <w:marTop w:val="0"/>
      <w:marBottom w:val="0"/>
      <w:divBdr>
        <w:top w:val="none" w:sz="0" w:space="0" w:color="auto"/>
        <w:left w:val="none" w:sz="0" w:space="0" w:color="auto"/>
        <w:bottom w:val="none" w:sz="0" w:space="0" w:color="auto"/>
        <w:right w:val="none" w:sz="0" w:space="0" w:color="auto"/>
      </w:divBdr>
    </w:div>
    <w:div w:id="317148195">
      <w:bodyDiv w:val="1"/>
      <w:marLeft w:val="0"/>
      <w:marRight w:val="0"/>
      <w:marTop w:val="0"/>
      <w:marBottom w:val="0"/>
      <w:divBdr>
        <w:top w:val="none" w:sz="0" w:space="0" w:color="auto"/>
        <w:left w:val="none" w:sz="0" w:space="0" w:color="auto"/>
        <w:bottom w:val="none" w:sz="0" w:space="0" w:color="auto"/>
        <w:right w:val="none" w:sz="0" w:space="0" w:color="auto"/>
      </w:divBdr>
    </w:div>
    <w:div w:id="410276801">
      <w:bodyDiv w:val="1"/>
      <w:marLeft w:val="0"/>
      <w:marRight w:val="0"/>
      <w:marTop w:val="0"/>
      <w:marBottom w:val="0"/>
      <w:divBdr>
        <w:top w:val="none" w:sz="0" w:space="0" w:color="auto"/>
        <w:left w:val="none" w:sz="0" w:space="0" w:color="auto"/>
        <w:bottom w:val="none" w:sz="0" w:space="0" w:color="auto"/>
        <w:right w:val="none" w:sz="0" w:space="0" w:color="auto"/>
      </w:divBdr>
    </w:div>
    <w:div w:id="443620191">
      <w:bodyDiv w:val="1"/>
      <w:marLeft w:val="0"/>
      <w:marRight w:val="0"/>
      <w:marTop w:val="0"/>
      <w:marBottom w:val="0"/>
      <w:divBdr>
        <w:top w:val="none" w:sz="0" w:space="0" w:color="auto"/>
        <w:left w:val="none" w:sz="0" w:space="0" w:color="auto"/>
        <w:bottom w:val="none" w:sz="0" w:space="0" w:color="auto"/>
        <w:right w:val="none" w:sz="0" w:space="0" w:color="auto"/>
      </w:divBdr>
    </w:div>
    <w:div w:id="447893505">
      <w:bodyDiv w:val="1"/>
      <w:marLeft w:val="0"/>
      <w:marRight w:val="0"/>
      <w:marTop w:val="0"/>
      <w:marBottom w:val="0"/>
      <w:divBdr>
        <w:top w:val="none" w:sz="0" w:space="0" w:color="auto"/>
        <w:left w:val="none" w:sz="0" w:space="0" w:color="auto"/>
        <w:bottom w:val="none" w:sz="0" w:space="0" w:color="auto"/>
        <w:right w:val="none" w:sz="0" w:space="0" w:color="auto"/>
      </w:divBdr>
    </w:div>
    <w:div w:id="462817388">
      <w:bodyDiv w:val="1"/>
      <w:marLeft w:val="0"/>
      <w:marRight w:val="0"/>
      <w:marTop w:val="0"/>
      <w:marBottom w:val="0"/>
      <w:divBdr>
        <w:top w:val="none" w:sz="0" w:space="0" w:color="auto"/>
        <w:left w:val="none" w:sz="0" w:space="0" w:color="auto"/>
        <w:bottom w:val="none" w:sz="0" w:space="0" w:color="auto"/>
        <w:right w:val="none" w:sz="0" w:space="0" w:color="auto"/>
      </w:divBdr>
    </w:div>
    <w:div w:id="521437165">
      <w:bodyDiv w:val="1"/>
      <w:marLeft w:val="0"/>
      <w:marRight w:val="0"/>
      <w:marTop w:val="0"/>
      <w:marBottom w:val="0"/>
      <w:divBdr>
        <w:top w:val="none" w:sz="0" w:space="0" w:color="auto"/>
        <w:left w:val="none" w:sz="0" w:space="0" w:color="auto"/>
        <w:bottom w:val="none" w:sz="0" w:space="0" w:color="auto"/>
        <w:right w:val="none" w:sz="0" w:space="0" w:color="auto"/>
      </w:divBdr>
    </w:div>
    <w:div w:id="538123802">
      <w:bodyDiv w:val="1"/>
      <w:marLeft w:val="0"/>
      <w:marRight w:val="0"/>
      <w:marTop w:val="0"/>
      <w:marBottom w:val="0"/>
      <w:divBdr>
        <w:top w:val="none" w:sz="0" w:space="0" w:color="auto"/>
        <w:left w:val="none" w:sz="0" w:space="0" w:color="auto"/>
        <w:bottom w:val="none" w:sz="0" w:space="0" w:color="auto"/>
        <w:right w:val="none" w:sz="0" w:space="0" w:color="auto"/>
      </w:divBdr>
    </w:div>
    <w:div w:id="723066832">
      <w:bodyDiv w:val="1"/>
      <w:marLeft w:val="0"/>
      <w:marRight w:val="0"/>
      <w:marTop w:val="0"/>
      <w:marBottom w:val="0"/>
      <w:divBdr>
        <w:top w:val="none" w:sz="0" w:space="0" w:color="auto"/>
        <w:left w:val="none" w:sz="0" w:space="0" w:color="auto"/>
        <w:bottom w:val="none" w:sz="0" w:space="0" w:color="auto"/>
        <w:right w:val="none" w:sz="0" w:space="0" w:color="auto"/>
      </w:divBdr>
    </w:div>
    <w:div w:id="748577785">
      <w:bodyDiv w:val="1"/>
      <w:marLeft w:val="0"/>
      <w:marRight w:val="0"/>
      <w:marTop w:val="0"/>
      <w:marBottom w:val="0"/>
      <w:divBdr>
        <w:top w:val="none" w:sz="0" w:space="0" w:color="auto"/>
        <w:left w:val="none" w:sz="0" w:space="0" w:color="auto"/>
        <w:bottom w:val="none" w:sz="0" w:space="0" w:color="auto"/>
        <w:right w:val="none" w:sz="0" w:space="0" w:color="auto"/>
      </w:divBdr>
    </w:div>
    <w:div w:id="811287729">
      <w:bodyDiv w:val="1"/>
      <w:marLeft w:val="0"/>
      <w:marRight w:val="0"/>
      <w:marTop w:val="0"/>
      <w:marBottom w:val="0"/>
      <w:divBdr>
        <w:top w:val="none" w:sz="0" w:space="0" w:color="auto"/>
        <w:left w:val="none" w:sz="0" w:space="0" w:color="auto"/>
        <w:bottom w:val="none" w:sz="0" w:space="0" w:color="auto"/>
        <w:right w:val="none" w:sz="0" w:space="0" w:color="auto"/>
      </w:divBdr>
    </w:div>
    <w:div w:id="811949764">
      <w:bodyDiv w:val="1"/>
      <w:marLeft w:val="0"/>
      <w:marRight w:val="0"/>
      <w:marTop w:val="0"/>
      <w:marBottom w:val="0"/>
      <w:divBdr>
        <w:top w:val="none" w:sz="0" w:space="0" w:color="auto"/>
        <w:left w:val="none" w:sz="0" w:space="0" w:color="auto"/>
        <w:bottom w:val="none" w:sz="0" w:space="0" w:color="auto"/>
        <w:right w:val="none" w:sz="0" w:space="0" w:color="auto"/>
      </w:divBdr>
    </w:div>
    <w:div w:id="825588199">
      <w:bodyDiv w:val="1"/>
      <w:marLeft w:val="0"/>
      <w:marRight w:val="0"/>
      <w:marTop w:val="0"/>
      <w:marBottom w:val="0"/>
      <w:divBdr>
        <w:top w:val="none" w:sz="0" w:space="0" w:color="auto"/>
        <w:left w:val="none" w:sz="0" w:space="0" w:color="auto"/>
        <w:bottom w:val="none" w:sz="0" w:space="0" w:color="auto"/>
        <w:right w:val="none" w:sz="0" w:space="0" w:color="auto"/>
      </w:divBdr>
    </w:div>
    <w:div w:id="877427569">
      <w:bodyDiv w:val="1"/>
      <w:marLeft w:val="0"/>
      <w:marRight w:val="0"/>
      <w:marTop w:val="0"/>
      <w:marBottom w:val="0"/>
      <w:divBdr>
        <w:top w:val="none" w:sz="0" w:space="0" w:color="auto"/>
        <w:left w:val="none" w:sz="0" w:space="0" w:color="auto"/>
        <w:bottom w:val="none" w:sz="0" w:space="0" w:color="auto"/>
        <w:right w:val="none" w:sz="0" w:space="0" w:color="auto"/>
      </w:divBdr>
    </w:div>
    <w:div w:id="897978556">
      <w:bodyDiv w:val="1"/>
      <w:marLeft w:val="0"/>
      <w:marRight w:val="0"/>
      <w:marTop w:val="0"/>
      <w:marBottom w:val="0"/>
      <w:divBdr>
        <w:top w:val="none" w:sz="0" w:space="0" w:color="auto"/>
        <w:left w:val="none" w:sz="0" w:space="0" w:color="auto"/>
        <w:bottom w:val="none" w:sz="0" w:space="0" w:color="auto"/>
        <w:right w:val="none" w:sz="0" w:space="0" w:color="auto"/>
      </w:divBdr>
    </w:div>
    <w:div w:id="916591108">
      <w:bodyDiv w:val="1"/>
      <w:marLeft w:val="0"/>
      <w:marRight w:val="0"/>
      <w:marTop w:val="0"/>
      <w:marBottom w:val="0"/>
      <w:divBdr>
        <w:top w:val="none" w:sz="0" w:space="0" w:color="auto"/>
        <w:left w:val="none" w:sz="0" w:space="0" w:color="auto"/>
        <w:bottom w:val="none" w:sz="0" w:space="0" w:color="auto"/>
        <w:right w:val="none" w:sz="0" w:space="0" w:color="auto"/>
      </w:divBdr>
    </w:div>
    <w:div w:id="969867719">
      <w:bodyDiv w:val="1"/>
      <w:marLeft w:val="0"/>
      <w:marRight w:val="0"/>
      <w:marTop w:val="0"/>
      <w:marBottom w:val="0"/>
      <w:divBdr>
        <w:top w:val="none" w:sz="0" w:space="0" w:color="auto"/>
        <w:left w:val="none" w:sz="0" w:space="0" w:color="auto"/>
        <w:bottom w:val="none" w:sz="0" w:space="0" w:color="auto"/>
        <w:right w:val="none" w:sz="0" w:space="0" w:color="auto"/>
      </w:divBdr>
    </w:div>
    <w:div w:id="1028140084">
      <w:bodyDiv w:val="1"/>
      <w:marLeft w:val="0"/>
      <w:marRight w:val="0"/>
      <w:marTop w:val="0"/>
      <w:marBottom w:val="0"/>
      <w:divBdr>
        <w:top w:val="none" w:sz="0" w:space="0" w:color="auto"/>
        <w:left w:val="none" w:sz="0" w:space="0" w:color="auto"/>
        <w:bottom w:val="none" w:sz="0" w:space="0" w:color="auto"/>
        <w:right w:val="none" w:sz="0" w:space="0" w:color="auto"/>
      </w:divBdr>
    </w:div>
    <w:div w:id="1070008224">
      <w:bodyDiv w:val="1"/>
      <w:marLeft w:val="0"/>
      <w:marRight w:val="0"/>
      <w:marTop w:val="0"/>
      <w:marBottom w:val="0"/>
      <w:divBdr>
        <w:top w:val="none" w:sz="0" w:space="0" w:color="auto"/>
        <w:left w:val="none" w:sz="0" w:space="0" w:color="auto"/>
        <w:bottom w:val="none" w:sz="0" w:space="0" w:color="auto"/>
        <w:right w:val="none" w:sz="0" w:space="0" w:color="auto"/>
      </w:divBdr>
    </w:div>
    <w:div w:id="1102149038">
      <w:bodyDiv w:val="1"/>
      <w:marLeft w:val="0"/>
      <w:marRight w:val="0"/>
      <w:marTop w:val="0"/>
      <w:marBottom w:val="0"/>
      <w:divBdr>
        <w:top w:val="none" w:sz="0" w:space="0" w:color="auto"/>
        <w:left w:val="none" w:sz="0" w:space="0" w:color="auto"/>
        <w:bottom w:val="none" w:sz="0" w:space="0" w:color="auto"/>
        <w:right w:val="none" w:sz="0" w:space="0" w:color="auto"/>
      </w:divBdr>
    </w:div>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147747957">
      <w:bodyDiv w:val="1"/>
      <w:marLeft w:val="0"/>
      <w:marRight w:val="0"/>
      <w:marTop w:val="0"/>
      <w:marBottom w:val="0"/>
      <w:divBdr>
        <w:top w:val="none" w:sz="0" w:space="0" w:color="auto"/>
        <w:left w:val="none" w:sz="0" w:space="0" w:color="auto"/>
        <w:bottom w:val="none" w:sz="0" w:space="0" w:color="auto"/>
        <w:right w:val="none" w:sz="0" w:space="0" w:color="auto"/>
      </w:divBdr>
    </w:div>
    <w:div w:id="1268350803">
      <w:bodyDiv w:val="1"/>
      <w:marLeft w:val="0"/>
      <w:marRight w:val="0"/>
      <w:marTop w:val="0"/>
      <w:marBottom w:val="0"/>
      <w:divBdr>
        <w:top w:val="none" w:sz="0" w:space="0" w:color="auto"/>
        <w:left w:val="none" w:sz="0" w:space="0" w:color="auto"/>
        <w:bottom w:val="none" w:sz="0" w:space="0" w:color="auto"/>
        <w:right w:val="none" w:sz="0" w:space="0" w:color="auto"/>
      </w:divBdr>
    </w:div>
    <w:div w:id="1290283872">
      <w:bodyDiv w:val="1"/>
      <w:marLeft w:val="0"/>
      <w:marRight w:val="0"/>
      <w:marTop w:val="0"/>
      <w:marBottom w:val="0"/>
      <w:divBdr>
        <w:top w:val="none" w:sz="0" w:space="0" w:color="auto"/>
        <w:left w:val="none" w:sz="0" w:space="0" w:color="auto"/>
        <w:bottom w:val="none" w:sz="0" w:space="0" w:color="auto"/>
        <w:right w:val="none" w:sz="0" w:space="0" w:color="auto"/>
      </w:divBdr>
    </w:div>
    <w:div w:id="1309365199">
      <w:bodyDiv w:val="1"/>
      <w:marLeft w:val="0"/>
      <w:marRight w:val="0"/>
      <w:marTop w:val="0"/>
      <w:marBottom w:val="0"/>
      <w:divBdr>
        <w:top w:val="none" w:sz="0" w:space="0" w:color="auto"/>
        <w:left w:val="none" w:sz="0" w:space="0" w:color="auto"/>
        <w:bottom w:val="none" w:sz="0" w:space="0" w:color="auto"/>
        <w:right w:val="none" w:sz="0" w:space="0" w:color="auto"/>
      </w:divBdr>
    </w:div>
    <w:div w:id="1333527120">
      <w:bodyDiv w:val="1"/>
      <w:marLeft w:val="0"/>
      <w:marRight w:val="0"/>
      <w:marTop w:val="0"/>
      <w:marBottom w:val="0"/>
      <w:divBdr>
        <w:top w:val="none" w:sz="0" w:space="0" w:color="auto"/>
        <w:left w:val="none" w:sz="0" w:space="0" w:color="auto"/>
        <w:bottom w:val="none" w:sz="0" w:space="0" w:color="auto"/>
        <w:right w:val="none" w:sz="0" w:space="0" w:color="auto"/>
      </w:divBdr>
    </w:div>
    <w:div w:id="1435129237">
      <w:bodyDiv w:val="1"/>
      <w:marLeft w:val="0"/>
      <w:marRight w:val="0"/>
      <w:marTop w:val="0"/>
      <w:marBottom w:val="0"/>
      <w:divBdr>
        <w:top w:val="none" w:sz="0" w:space="0" w:color="auto"/>
        <w:left w:val="none" w:sz="0" w:space="0" w:color="auto"/>
        <w:bottom w:val="none" w:sz="0" w:space="0" w:color="auto"/>
        <w:right w:val="none" w:sz="0" w:space="0" w:color="auto"/>
      </w:divBdr>
    </w:div>
    <w:div w:id="1441560480">
      <w:bodyDiv w:val="1"/>
      <w:marLeft w:val="0"/>
      <w:marRight w:val="0"/>
      <w:marTop w:val="0"/>
      <w:marBottom w:val="0"/>
      <w:divBdr>
        <w:top w:val="none" w:sz="0" w:space="0" w:color="auto"/>
        <w:left w:val="none" w:sz="0" w:space="0" w:color="auto"/>
        <w:bottom w:val="none" w:sz="0" w:space="0" w:color="auto"/>
        <w:right w:val="none" w:sz="0" w:space="0" w:color="auto"/>
      </w:divBdr>
    </w:div>
    <w:div w:id="1443263979">
      <w:bodyDiv w:val="1"/>
      <w:marLeft w:val="0"/>
      <w:marRight w:val="0"/>
      <w:marTop w:val="0"/>
      <w:marBottom w:val="0"/>
      <w:divBdr>
        <w:top w:val="none" w:sz="0" w:space="0" w:color="auto"/>
        <w:left w:val="none" w:sz="0" w:space="0" w:color="auto"/>
        <w:bottom w:val="none" w:sz="0" w:space="0" w:color="auto"/>
        <w:right w:val="none" w:sz="0" w:space="0" w:color="auto"/>
      </w:divBdr>
    </w:div>
    <w:div w:id="1539389472">
      <w:bodyDiv w:val="1"/>
      <w:marLeft w:val="0"/>
      <w:marRight w:val="0"/>
      <w:marTop w:val="0"/>
      <w:marBottom w:val="0"/>
      <w:divBdr>
        <w:top w:val="none" w:sz="0" w:space="0" w:color="auto"/>
        <w:left w:val="none" w:sz="0" w:space="0" w:color="auto"/>
        <w:bottom w:val="none" w:sz="0" w:space="0" w:color="auto"/>
        <w:right w:val="none" w:sz="0" w:space="0" w:color="auto"/>
      </w:divBdr>
    </w:div>
    <w:div w:id="1628588127">
      <w:bodyDiv w:val="1"/>
      <w:marLeft w:val="0"/>
      <w:marRight w:val="0"/>
      <w:marTop w:val="0"/>
      <w:marBottom w:val="0"/>
      <w:divBdr>
        <w:top w:val="none" w:sz="0" w:space="0" w:color="auto"/>
        <w:left w:val="none" w:sz="0" w:space="0" w:color="auto"/>
        <w:bottom w:val="none" w:sz="0" w:space="0" w:color="auto"/>
        <w:right w:val="none" w:sz="0" w:space="0" w:color="auto"/>
      </w:divBdr>
    </w:div>
    <w:div w:id="1682314293">
      <w:bodyDiv w:val="1"/>
      <w:marLeft w:val="0"/>
      <w:marRight w:val="0"/>
      <w:marTop w:val="0"/>
      <w:marBottom w:val="0"/>
      <w:divBdr>
        <w:top w:val="none" w:sz="0" w:space="0" w:color="auto"/>
        <w:left w:val="none" w:sz="0" w:space="0" w:color="auto"/>
        <w:bottom w:val="none" w:sz="0" w:space="0" w:color="auto"/>
        <w:right w:val="none" w:sz="0" w:space="0" w:color="auto"/>
      </w:divBdr>
      <w:divsChild>
        <w:div w:id="731385768">
          <w:marLeft w:val="0"/>
          <w:marRight w:val="0"/>
          <w:marTop w:val="0"/>
          <w:marBottom w:val="0"/>
          <w:divBdr>
            <w:top w:val="none" w:sz="0" w:space="0" w:color="auto"/>
            <w:left w:val="none" w:sz="0" w:space="0" w:color="auto"/>
            <w:bottom w:val="none" w:sz="0" w:space="0" w:color="auto"/>
            <w:right w:val="none" w:sz="0" w:space="0" w:color="auto"/>
          </w:divBdr>
          <w:divsChild>
            <w:div w:id="1598368799">
              <w:marLeft w:val="0"/>
              <w:marRight w:val="0"/>
              <w:marTop w:val="0"/>
              <w:marBottom w:val="0"/>
              <w:divBdr>
                <w:top w:val="none" w:sz="0" w:space="0" w:color="auto"/>
                <w:left w:val="none" w:sz="0" w:space="0" w:color="auto"/>
                <w:bottom w:val="none" w:sz="0" w:space="0" w:color="auto"/>
                <w:right w:val="none" w:sz="0" w:space="0" w:color="auto"/>
              </w:divBdr>
            </w:div>
          </w:divsChild>
        </w:div>
        <w:div w:id="1782652289">
          <w:marLeft w:val="0"/>
          <w:marRight w:val="0"/>
          <w:marTop w:val="0"/>
          <w:marBottom w:val="0"/>
          <w:divBdr>
            <w:top w:val="none" w:sz="0" w:space="0" w:color="auto"/>
            <w:left w:val="none" w:sz="0" w:space="0" w:color="auto"/>
            <w:bottom w:val="none" w:sz="0" w:space="0" w:color="auto"/>
            <w:right w:val="none" w:sz="0" w:space="0" w:color="auto"/>
          </w:divBdr>
          <w:divsChild>
            <w:div w:id="7341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0176">
      <w:bodyDiv w:val="1"/>
      <w:marLeft w:val="0"/>
      <w:marRight w:val="0"/>
      <w:marTop w:val="0"/>
      <w:marBottom w:val="0"/>
      <w:divBdr>
        <w:top w:val="none" w:sz="0" w:space="0" w:color="auto"/>
        <w:left w:val="none" w:sz="0" w:space="0" w:color="auto"/>
        <w:bottom w:val="none" w:sz="0" w:space="0" w:color="auto"/>
        <w:right w:val="none" w:sz="0" w:space="0" w:color="auto"/>
      </w:divBdr>
    </w:div>
    <w:div w:id="1750998317">
      <w:bodyDiv w:val="1"/>
      <w:marLeft w:val="0"/>
      <w:marRight w:val="0"/>
      <w:marTop w:val="0"/>
      <w:marBottom w:val="0"/>
      <w:divBdr>
        <w:top w:val="none" w:sz="0" w:space="0" w:color="auto"/>
        <w:left w:val="none" w:sz="0" w:space="0" w:color="auto"/>
        <w:bottom w:val="none" w:sz="0" w:space="0" w:color="auto"/>
        <w:right w:val="none" w:sz="0" w:space="0" w:color="auto"/>
      </w:divBdr>
    </w:div>
    <w:div w:id="1854565513">
      <w:bodyDiv w:val="1"/>
      <w:marLeft w:val="0"/>
      <w:marRight w:val="0"/>
      <w:marTop w:val="0"/>
      <w:marBottom w:val="0"/>
      <w:divBdr>
        <w:top w:val="none" w:sz="0" w:space="0" w:color="auto"/>
        <w:left w:val="none" w:sz="0" w:space="0" w:color="auto"/>
        <w:bottom w:val="none" w:sz="0" w:space="0" w:color="auto"/>
        <w:right w:val="none" w:sz="0" w:space="0" w:color="auto"/>
      </w:divBdr>
    </w:div>
    <w:div w:id="1875532439">
      <w:bodyDiv w:val="1"/>
      <w:marLeft w:val="0"/>
      <w:marRight w:val="0"/>
      <w:marTop w:val="0"/>
      <w:marBottom w:val="0"/>
      <w:divBdr>
        <w:top w:val="none" w:sz="0" w:space="0" w:color="auto"/>
        <w:left w:val="none" w:sz="0" w:space="0" w:color="auto"/>
        <w:bottom w:val="none" w:sz="0" w:space="0" w:color="auto"/>
        <w:right w:val="none" w:sz="0" w:space="0" w:color="auto"/>
      </w:divBdr>
    </w:div>
    <w:div w:id="1915553342">
      <w:bodyDiv w:val="1"/>
      <w:marLeft w:val="0"/>
      <w:marRight w:val="0"/>
      <w:marTop w:val="0"/>
      <w:marBottom w:val="0"/>
      <w:divBdr>
        <w:top w:val="none" w:sz="0" w:space="0" w:color="auto"/>
        <w:left w:val="none" w:sz="0" w:space="0" w:color="auto"/>
        <w:bottom w:val="none" w:sz="0" w:space="0" w:color="auto"/>
        <w:right w:val="none" w:sz="0" w:space="0" w:color="auto"/>
      </w:divBdr>
    </w:div>
    <w:div w:id="1970624695">
      <w:bodyDiv w:val="1"/>
      <w:marLeft w:val="0"/>
      <w:marRight w:val="0"/>
      <w:marTop w:val="0"/>
      <w:marBottom w:val="0"/>
      <w:divBdr>
        <w:top w:val="none" w:sz="0" w:space="0" w:color="auto"/>
        <w:left w:val="none" w:sz="0" w:space="0" w:color="auto"/>
        <w:bottom w:val="none" w:sz="0" w:space="0" w:color="auto"/>
        <w:right w:val="none" w:sz="0" w:space="0" w:color="auto"/>
      </w:divBdr>
    </w:div>
    <w:div w:id="1971201688">
      <w:bodyDiv w:val="1"/>
      <w:marLeft w:val="0"/>
      <w:marRight w:val="0"/>
      <w:marTop w:val="0"/>
      <w:marBottom w:val="0"/>
      <w:divBdr>
        <w:top w:val="none" w:sz="0" w:space="0" w:color="auto"/>
        <w:left w:val="none" w:sz="0" w:space="0" w:color="auto"/>
        <w:bottom w:val="none" w:sz="0" w:space="0" w:color="auto"/>
        <w:right w:val="none" w:sz="0" w:space="0" w:color="auto"/>
      </w:divBdr>
    </w:div>
    <w:div w:id="2086297516">
      <w:bodyDiv w:val="1"/>
      <w:marLeft w:val="0"/>
      <w:marRight w:val="0"/>
      <w:marTop w:val="0"/>
      <w:marBottom w:val="0"/>
      <w:divBdr>
        <w:top w:val="none" w:sz="0" w:space="0" w:color="auto"/>
        <w:left w:val="none" w:sz="0" w:space="0" w:color="auto"/>
        <w:bottom w:val="none" w:sz="0" w:space="0" w:color="auto"/>
        <w:right w:val="none" w:sz="0" w:space="0" w:color="auto"/>
      </w:divBdr>
    </w:div>
    <w:div w:id="2125340254">
      <w:bodyDiv w:val="1"/>
      <w:marLeft w:val="0"/>
      <w:marRight w:val="0"/>
      <w:marTop w:val="0"/>
      <w:marBottom w:val="0"/>
      <w:divBdr>
        <w:top w:val="none" w:sz="0" w:space="0" w:color="auto"/>
        <w:left w:val="none" w:sz="0" w:space="0" w:color="auto"/>
        <w:bottom w:val="none" w:sz="0" w:space="0" w:color="auto"/>
        <w:right w:val="none" w:sz="0" w:space="0" w:color="auto"/>
      </w:divBdr>
      <w:divsChild>
        <w:div w:id="1900169738">
          <w:marLeft w:val="0"/>
          <w:marRight w:val="0"/>
          <w:marTop w:val="300"/>
          <w:marBottom w:val="300"/>
          <w:divBdr>
            <w:top w:val="single" w:sz="2" w:space="0" w:color="auto"/>
            <w:left w:val="single" w:sz="2" w:space="0" w:color="auto"/>
            <w:bottom w:val="single" w:sz="2" w:space="0" w:color="auto"/>
            <w:right w:val="single" w:sz="2" w:space="0" w:color="auto"/>
          </w:divBdr>
          <w:divsChild>
            <w:div w:id="307318529">
              <w:marLeft w:val="0"/>
              <w:marRight w:val="0"/>
              <w:marTop w:val="0"/>
              <w:marBottom w:val="0"/>
              <w:divBdr>
                <w:top w:val="single" w:sz="2" w:space="0" w:color="auto"/>
                <w:left w:val="single" w:sz="2" w:space="0" w:color="auto"/>
                <w:bottom w:val="single" w:sz="2" w:space="0" w:color="auto"/>
                <w:right w:val="single" w:sz="2" w:space="0" w:color="auto"/>
              </w:divBdr>
              <w:divsChild>
                <w:div w:id="1549591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8DC5-8C92-4676-AF0F-4DAFAEFA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2259</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MALDONADO M</dc:creator>
  <cp:lastModifiedBy>SERVITEC &amp; PC</cp:lastModifiedBy>
  <cp:revision>7</cp:revision>
  <cp:lastPrinted>2019-04-08T18:24:00Z</cp:lastPrinted>
  <dcterms:created xsi:type="dcterms:W3CDTF">2020-07-07T20:00:00Z</dcterms:created>
  <dcterms:modified xsi:type="dcterms:W3CDTF">2020-07-08T16:30:00Z</dcterms:modified>
</cp:coreProperties>
</file>