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8F" w:rsidRPr="00131E8F" w:rsidRDefault="00131E8F" w:rsidP="00131E8F">
      <w:pPr>
        <w:pStyle w:val="Prrafodelista"/>
        <w:tabs>
          <w:tab w:val="left" w:pos="2652"/>
        </w:tabs>
        <w:ind w:left="1080"/>
        <w:jc w:val="right"/>
        <w:rPr>
          <w:b/>
          <w:sz w:val="20"/>
          <w:szCs w:val="20"/>
        </w:rPr>
      </w:pPr>
      <w:r>
        <w:rPr>
          <w:b/>
          <w:sz w:val="20"/>
          <w:szCs w:val="20"/>
        </w:rPr>
        <w:t xml:space="preserve">                                                                                   </w:t>
      </w:r>
      <w:r w:rsidRPr="00131E8F">
        <w:rPr>
          <w:b/>
          <w:sz w:val="20"/>
          <w:szCs w:val="20"/>
        </w:rPr>
        <w:t>ETCA-I-09</w:t>
      </w:r>
      <w:r w:rsidRPr="00131E8F">
        <w:rPr>
          <w:b/>
          <w:sz w:val="20"/>
          <w:szCs w:val="20"/>
        </w:rPr>
        <w:tab/>
      </w:r>
    </w:p>
    <w:p w:rsidR="00131E8F" w:rsidRPr="00131E8F" w:rsidRDefault="00131E8F" w:rsidP="00131E8F">
      <w:pPr>
        <w:jc w:val="right"/>
        <w:rPr>
          <w:b/>
          <w:sz w:val="20"/>
          <w:szCs w:val="20"/>
        </w:rPr>
      </w:pPr>
      <w:r w:rsidRPr="00131E8F">
        <w:rPr>
          <w:b/>
          <w:sz w:val="20"/>
          <w:szCs w:val="20"/>
        </w:rPr>
        <w:t xml:space="preserve">TRIMESTRE: SEGUNDO </w:t>
      </w:r>
    </w:p>
    <w:p w:rsidR="00A179B0" w:rsidRDefault="00131E8F" w:rsidP="00131E8F">
      <w:pPr>
        <w:pStyle w:val="Prrafodelista"/>
        <w:spacing w:after="0" w:line="240" w:lineRule="auto"/>
        <w:ind w:left="1080"/>
        <w:rPr>
          <w:b/>
          <w:sz w:val="28"/>
          <w:szCs w:val="24"/>
        </w:rPr>
      </w:pPr>
      <w:r>
        <w:rPr>
          <w:b/>
          <w:sz w:val="28"/>
          <w:szCs w:val="24"/>
        </w:rPr>
        <w:t xml:space="preserve">                                      </w:t>
      </w:r>
      <w:r w:rsidR="00A179B0">
        <w:rPr>
          <w:b/>
          <w:sz w:val="28"/>
          <w:szCs w:val="24"/>
        </w:rPr>
        <w:t>Sistema Estatal de E</w:t>
      </w:r>
      <w:r w:rsidR="00A179B0" w:rsidRPr="00A179B0">
        <w:rPr>
          <w:b/>
          <w:sz w:val="28"/>
          <w:szCs w:val="24"/>
        </w:rPr>
        <w:t>valuación</w:t>
      </w:r>
    </w:p>
    <w:p w:rsidR="00E00BF3" w:rsidRDefault="00A179B0" w:rsidP="00A179B0">
      <w:pPr>
        <w:pStyle w:val="Prrafodelista"/>
        <w:spacing w:after="0" w:line="240" w:lineRule="auto"/>
        <w:ind w:left="1080"/>
        <w:jc w:val="center"/>
        <w:rPr>
          <w:b/>
          <w:sz w:val="28"/>
          <w:szCs w:val="24"/>
        </w:rPr>
      </w:pPr>
      <w:r>
        <w:rPr>
          <w:b/>
          <w:sz w:val="28"/>
          <w:szCs w:val="24"/>
        </w:rPr>
        <w:t>Notas a los Estados Financieros</w:t>
      </w:r>
    </w:p>
    <w:p w:rsidR="00A179B0" w:rsidRDefault="00A179B0" w:rsidP="00A179B0">
      <w:pPr>
        <w:pStyle w:val="Prrafodelista"/>
        <w:spacing w:after="0" w:line="240" w:lineRule="auto"/>
        <w:ind w:left="1080"/>
        <w:jc w:val="center"/>
        <w:rPr>
          <w:b/>
          <w:sz w:val="28"/>
          <w:szCs w:val="24"/>
        </w:rPr>
      </w:pPr>
      <w:r>
        <w:rPr>
          <w:b/>
          <w:sz w:val="28"/>
          <w:szCs w:val="24"/>
        </w:rPr>
        <w:t>INSTITUTO DE SEGURIDAD Y SERVICIOS SOCIALES DE LOS TRABAJADORES DEL ESTADO DE SONORA</w:t>
      </w:r>
    </w:p>
    <w:p w:rsidR="00A179B0" w:rsidRDefault="00A179B0" w:rsidP="00A179B0">
      <w:pPr>
        <w:pStyle w:val="Prrafodelista"/>
        <w:spacing w:after="0" w:line="240" w:lineRule="auto"/>
        <w:ind w:left="1080"/>
        <w:jc w:val="center"/>
        <w:rPr>
          <w:b/>
          <w:sz w:val="28"/>
          <w:szCs w:val="24"/>
        </w:rPr>
      </w:pPr>
    </w:p>
    <w:p w:rsidR="00A179B0" w:rsidRPr="00FE452B" w:rsidRDefault="00FE452B" w:rsidP="00FE452B">
      <w:pPr>
        <w:pStyle w:val="Prrafodelista"/>
        <w:spacing w:after="0" w:line="240" w:lineRule="auto"/>
        <w:ind w:left="1080"/>
        <w:jc w:val="center"/>
        <w:rPr>
          <w:b/>
          <w:sz w:val="24"/>
          <w:szCs w:val="24"/>
        </w:rPr>
      </w:pPr>
      <w:r w:rsidRPr="00FE452B">
        <w:rPr>
          <w:b/>
          <w:sz w:val="24"/>
          <w:szCs w:val="24"/>
        </w:rPr>
        <w:t>Al 3</w:t>
      </w:r>
      <w:r w:rsidR="0088709D">
        <w:rPr>
          <w:b/>
          <w:sz w:val="24"/>
          <w:szCs w:val="24"/>
        </w:rPr>
        <w:t>0 de Junio</w:t>
      </w:r>
      <w:r w:rsidRPr="00FE452B">
        <w:rPr>
          <w:b/>
          <w:sz w:val="24"/>
          <w:szCs w:val="24"/>
        </w:rPr>
        <w:t xml:space="preserve"> </w:t>
      </w:r>
      <w:r w:rsidR="00A179B0" w:rsidRPr="00FE452B">
        <w:rPr>
          <w:b/>
          <w:sz w:val="24"/>
          <w:szCs w:val="24"/>
        </w:rPr>
        <w:t>del 2016</w:t>
      </w:r>
    </w:p>
    <w:p w:rsidR="00FE452B" w:rsidRPr="00FE452B" w:rsidRDefault="00FE452B" w:rsidP="00FE452B">
      <w:pPr>
        <w:pStyle w:val="Prrafodelista"/>
        <w:spacing w:after="0" w:line="240" w:lineRule="auto"/>
        <w:ind w:left="1080"/>
        <w:jc w:val="center"/>
        <w:rPr>
          <w:sz w:val="24"/>
          <w:szCs w:val="24"/>
        </w:rPr>
      </w:pPr>
      <w:r w:rsidRPr="00FE452B">
        <w:rPr>
          <w:sz w:val="24"/>
          <w:szCs w:val="24"/>
        </w:rPr>
        <w:t>(PESOS)</w:t>
      </w:r>
    </w:p>
    <w:p w:rsidR="007808E5" w:rsidRDefault="007808E5" w:rsidP="007808E5">
      <w:pPr>
        <w:jc w:val="both"/>
        <w:rPr>
          <w:b/>
          <w:sz w:val="24"/>
          <w:szCs w:val="24"/>
        </w:rPr>
      </w:pPr>
    </w:p>
    <w:p w:rsidR="008E6FFE" w:rsidRPr="00E7392C" w:rsidRDefault="007808E5" w:rsidP="007808E5">
      <w:pPr>
        <w:jc w:val="both"/>
        <w:rPr>
          <w:b/>
          <w:sz w:val="32"/>
          <w:szCs w:val="24"/>
        </w:rPr>
      </w:pPr>
      <w:r w:rsidRPr="00E7392C">
        <w:rPr>
          <w:b/>
          <w:sz w:val="28"/>
          <w:szCs w:val="24"/>
        </w:rPr>
        <w:t>I</w:t>
      </w:r>
      <w:r w:rsidR="00FE452B" w:rsidRPr="00E7392C">
        <w:rPr>
          <w:b/>
          <w:sz w:val="28"/>
          <w:szCs w:val="24"/>
        </w:rPr>
        <w:t>) NOTAS AL ESTADO DE SITUACION FINANCIERA</w:t>
      </w:r>
    </w:p>
    <w:p w:rsidR="006B38CB" w:rsidRDefault="00A26DCD" w:rsidP="00FE452B">
      <w:pPr>
        <w:spacing w:after="0" w:line="240" w:lineRule="auto"/>
        <w:rPr>
          <w:b/>
          <w:sz w:val="24"/>
          <w:szCs w:val="24"/>
        </w:rPr>
      </w:pPr>
      <w:r w:rsidRPr="009F1DB4">
        <w:rPr>
          <w:b/>
          <w:sz w:val="24"/>
          <w:szCs w:val="24"/>
        </w:rPr>
        <w:t xml:space="preserve"> </w:t>
      </w:r>
      <w:r w:rsidR="008E6FFE" w:rsidRPr="009F1DB4">
        <w:rPr>
          <w:b/>
          <w:sz w:val="24"/>
          <w:szCs w:val="24"/>
        </w:rPr>
        <w:t xml:space="preserve"> </w:t>
      </w:r>
      <w:r w:rsidR="008E6FFE" w:rsidRPr="007808E5">
        <w:rPr>
          <w:b/>
          <w:sz w:val="28"/>
          <w:szCs w:val="24"/>
        </w:rPr>
        <w:t xml:space="preserve">ACTIVO </w:t>
      </w:r>
      <w:r w:rsidR="008E6FFE" w:rsidRPr="009F1DB4">
        <w:rPr>
          <w:b/>
          <w:sz w:val="24"/>
          <w:szCs w:val="24"/>
        </w:rPr>
        <w:t xml:space="preserve">      </w:t>
      </w:r>
    </w:p>
    <w:p w:rsidR="00BD756E" w:rsidRPr="007808E5" w:rsidRDefault="00FE452B" w:rsidP="007808E5">
      <w:pPr>
        <w:pStyle w:val="Prrafodelista"/>
        <w:numPr>
          <w:ilvl w:val="0"/>
          <w:numId w:val="5"/>
        </w:numPr>
        <w:spacing w:after="0" w:line="240" w:lineRule="auto"/>
        <w:rPr>
          <w:b/>
          <w:sz w:val="24"/>
          <w:szCs w:val="24"/>
        </w:rPr>
      </w:pPr>
      <w:r w:rsidRPr="007808E5">
        <w:rPr>
          <w:b/>
          <w:sz w:val="24"/>
          <w:szCs w:val="24"/>
        </w:rPr>
        <w:t xml:space="preserve">EFECTIVO Y EQUIVALENTES    </w:t>
      </w:r>
    </w:p>
    <w:p w:rsidR="006B38CB" w:rsidRDefault="00BD756E" w:rsidP="00FE452B">
      <w:pPr>
        <w:spacing w:after="0" w:line="240" w:lineRule="auto"/>
      </w:pPr>
      <w:r>
        <w:t>El efectivo e inversiones temporales se integran como sigue:</w:t>
      </w:r>
    </w:p>
    <w:tbl>
      <w:tblPr>
        <w:tblW w:w="7961" w:type="dxa"/>
        <w:tblInd w:w="54" w:type="dxa"/>
        <w:tblCellMar>
          <w:left w:w="70" w:type="dxa"/>
          <w:right w:w="70" w:type="dxa"/>
        </w:tblCellMar>
        <w:tblLook w:val="04A0" w:firstRow="1" w:lastRow="0" w:firstColumn="1" w:lastColumn="0" w:noHBand="0" w:noVBand="1"/>
      </w:tblPr>
      <w:tblGrid>
        <w:gridCol w:w="5193"/>
        <w:gridCol w:w="2768"/>
      </w:tblGrid>
      <w:tr w:rsidR="00BD756E" w:rsidRPr="00BD756E" w:rsidTr="007808E5">
        <w:trPr>
          <w:trHeight w:val="262"/>
        </w:trPr>
        <w:tc>
          <w:tcPr>
            <w:tcW w:w="5193" w:type="dxa"/>
            <w:tcBorders>
              <w:top w:val="nil"/>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color w:val="000000"/>
              </w:rPr>
            </w:pPr>
          </w:p>
        </w:tc>
        <w:tc>
          <w:tcPr>
            <w:tcW w:w="2768" w:type="dxa"/>
            <w:tcBorders>
              <w:top w:val="nil"/>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b/>
                <w:bCs/>
                <w:color w:val="000000"/>
              </w:rPr>
            </w:pPr>
          </w:p>
        </w:tc>
      </w:tr>
      <w:tr w:rsidR="00BD756E" w:rsidRPr="00BD756E" w:rsidTr="007808E5">
        <w:trPr>
          <w:trHeight w:val="262"/>
        </w:trPr>
        <w:tc>
          <w:tcPr>
            <w:tcW w:w="5193" w:type="dxa"/>
            <w:tcBorders>
              <w:top w:val="nil"/>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color w:val="000000"/>
              </w:rPr>
            </w:pPr>
          </w:p>
        </w:tc>
        <w:tc>
          <w:tcPr>
            <w:tcW w:w="2768" w:type="dxa"/>
            <w:tcBorders>
              <w:top w:val="nil"/>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color w:val="000000"/>
              </w:rPr>
            </w:pPr>
          </w:p>
        </w:tc>
      </w:tr>
      <w:tr w:rsidR="00BD756E" w:rsidRPr="00BD756E" w:rsidTr="007808E5">
        <w:trPr>
          <w:trHeight w:val="262"/>
        </w:trPr>
        <w:tc>
          <w:tcPr>
            <w:tcW w:w="5193" w:type="dxa"/>
            <w:tcBorders>
              <w:top w:val="nil"/>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color w:val="000000"/>
              </w:rPr>
            </w:pPr>
            <w:r w:rsidRPr="00BD756E">
              <w:rPr>
                <w:rFonts w:ascii="Calibri" w:eastAsia="Times New Roman" w:hAnsi="Calibri" w:cs="Calibri"/>
                <w:color w:val="000000"/>
              </w:rPr>
              <w:t>Fondos con afectación específica</w:t>
            </w:r>
          </w:p>
        </w:tc>
        <w:tc>
          <w:tcPr>
            <w:tcW w:w="2768" w:type="dxa"/>
            <w:tcBorders>
              <w:top w:val="nil"/>
              <w:left w:val="nil"/>
              <w:bottom w:val="nil"/>
              <w:right w:val="nil"/>
            </w:tcBorders>
            <w:shd w:val="clear" w:color="auto" w:fill="auto"/>
            <w:noWrap/>
            <w:vAlign w:val="bottom"/>
            <w:hideMark/>
          </w:tcPr>
          <w:p w:rsidR="00BD756E" w:rsidRPr="00BD756E" w:rsidRDefault="00BD756E" w:rsidP="007808E5">
            <w:pPr>
              <w:spacing w:after="0" w:line="240" w:lineRule="auto"/>
              <w:rPr>
                <w:rFonts w:ascii="Calibri" w:eastAsia="Times New Roman" w:hAnsi="Calibri" w:cs="Calibri"/>
                <w:color w:val="000000"/>
              </w:rPr>
            </w:pPr>
            <w:r w:rsidRPr="00BD756E">
              <w:rPr>
                <w:rFonts w:ascii="Calibri" w:eastAsia="Times New Roman" w:hAnsi="Calibri" w:cs="Calibri"/>
                <w:color w:val="000000"/>
              </w:rPr>
              <w:t xml:space="preserve"> $                  </w:t>
            </w:r>
            <w:r>
              <w:rPr>
                <w:rFonts w:ascii="Calibri" w:eastAsia="Times New Roman" w:hAnsi="Calibri" w:cs="Calibri"/>
                <w:color w:val="000000"/>
              </w:rPr>
              <w:t xml:space="preserve">      </w:t>
            </w:r>
            <w:r w:rsidR="002E37D5">
              <w:rPr>
                <w:rFonts w:ascii="Calibri" w:eastAsia="Times New Roman" w:hAnsi="Calibri" w:cs="Calibri"/>
                <w:color w:val="000000"/>
              </w:rPr>
              <w:t xml:space="preserve">       </w:t>
            </w:r>
            <w:r>
              <w:rPr>
                <w:rFonts w:ascii="Calibri" w:eastAsia="Times New Roman" w:hAnsi="Calibri" w:cs="Calibri"/>
                <w:color w:val="000000"/>
              </w:rPr>
              <w:t xml:space="preserve"> </w:t>
            </w:r>
            <w:r w:rsidR="00697B15">
              <w:rPr>
                <w:rFonts w:ascii="Calibri" w:eastAsia="Times New Roman" w:hAnsi="Calibri" w:cs="Calibri"/>
                <w:color w:val="000000"/>
              </w:rPr>
              <w:t xml:space="preserve"> 309,09</w:t>
            </w:r>
            <w:r w:rsidR="00066497">
              <w:rPr>
                <w:rFonts w:ascii="Calibri" w:eastAsia="Times New Roman" w:hAnsi="Calibri" w:cs="Calibri"/>
                <w:color w:val="000000"/>
              </w:rPr>
              <w:t>2</w:t>
            </w:r>
            <w:r w:rsidRPr="00BD756E">
              <w:rPr>
                <w:rFonts w:ascii="Calibri" w:eastAsia="Times New Roman" w:hAnsi="Calibri" w:cs="Calibri"/>
                <w:color w:val="000000"/>
              </w:rPr>
              <w:t xml:space="preserve"> </w:t>
            </w:r>
          </w:p>
        </w:tc>
      </w:tr>
      <w:tr w:rsidR="00BD756E" w:rsidRPr="00BD756E" w:rsidTr="007808E5">
        <w:trPr>
          <w:trHeight w:val="262"/>
        </w:trPr>
        <w:tc>
          <w:tcPr>
            <w:tcW w:w="5193" w:type="dxa"/>
            <w:tcBorders>
              <w:top w:val="nil"/>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color w:val="000000"/>
              </w:rPr>
            </w:pPr>
            <w:r w:rsidRPr="00BD756E">
              <w:rPr>
                <w:rFonts w:ascii="Calibri" w:eastAsia="Times New Roman" w:hAnsi="Calibri" w:cs="Calibri"/>
                <w:color w:val="000000"/>
              </w:rPr>
              <w:t>Bancos/Tesorería</w:t>
            </w:r>
          </w:p>
        </w:tc>
        <w:tc>
          <w:tcPr>
            <w:tcW w:w="2768" w:type="dxa"/>
            <w:tcBorders>
              <w:top w:val="nil"/>
              <w:left w:val="nil"/>
              <w:bottom w:val="nil"/>
              <w:right w:val="nil"/>
            </w:tcBorders>
            <w:shd w:val="clear" w:color="auto" w:fill="auto"/>
            <w:noWrap/>
            <w:vAlign w:val="bottom"/>
            <w:hideMark/>
          </w:tcPr>
          <w:p w:rsidR="00BD756E" w:rsidRPr="00BD756E" w:rsidRDefault="002E37D5" w:rsidP="002E37D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60,066,695</w:t>
            </w:r>
            <w:r w:rsidR="00BD756E" w:rsidRPr="00BD756E">
              <w:rPr>
                <w:rFonts w:ascii="Calibri" w:eastAsia="Times New Roman" w:hAnsi="Calibri" w:cs="Calibri"/>
                <w:color w:val="000000"/>
              </w:rPr>
              <w:t xml:space="preserve"> </w:t>
            </w:r>
          </w:p>
        </w:tc>
      </w:tr>
      <w:tr w:rsidR="00BD756E" w:rsidRPr="00BD756E" w:rsidTr="007808E5">
        <w:trPr>
          <w:trHeight w:val="262"/>
        </w:trPr>
        <w:tc>
          <w:tcPr>
            <w:tcW w:w="5193" w:type="dxa"/>
            <w:tcBorders>
              <w:top w:val="nil"/>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color w:val="000000"/>
              </w:rPr>
            </w:pPr>
            <w:r w:rsidRPr="00BD756E">
              <w:rPr>
                <w:rFonts w:ascii="Calibri" w:eastAsia="Times New Roman" w:hAnsi="Calibri" w:cs="Calibri"/>
                <w:color w:val="000000"/>
              </w:rPr>
              <w:t>Inversiones Temporales (hasta 3 meses)</w:t>
            </w:r>
          </w:p>
        </w:tc>
        <w:tc>
          <w:tcPr>
            <w:tcW w:w="2768" w:type="dxa"/>
            <w:tcBorders>
              <w:top w:val="nil"/>
              <w:left w:val="nil"/>
              <w:bottom w:val="single" w:sz="4" w:space="0" w:color="auto"/>
              <w:right w:val="nil"/>
            </w:tcBorders>
            <w:shd w:val="clear" w:color="auto" w:fill="auto"/>
            <w:noWrap/>
            <w:vAlign w:val="bottom"/>
            <w:hideMark/>
          </w:tcPr>
          <w:p w:rsidR="00BD756E" w:rsidRPr="00BD756E" w:rsidRDefault="002E37D5" w:rsidP="002E37D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0.00</w:t>
            </w:r>
          </w:p>
        </w:tc>
      </w:tr>
      <w:tr w:rsidR="00BD756E" w:rsidRPr="00BD756E" w:rsidTr="007808E5">
        <w:trPr>
          <w:trHeight w:val="273"/>
        </w:trPr>
        <w:tc>
          <w:tcPr>
            <w:tcW w:w="5193" w:type="dxa"/>
            <w:tcBorders>
              <w:top w:val="nil"/>
              <w:left w:val="nil"/>
              <w:bottom w:val="nil"/>
              <w:right w:val="nil"/>
            </w:tcBorders>
            <w:shd w:val="clear" w:color="auto" w:fill="auto"/>
            <w:noWrap/>
            <w:vAlign w:val="bottom"/>
            <w:hideMark/>
          </w:tcPr>
          <w:p w:rsidR="00BD756E" w:rsidRPr="00BD756E" w:rsidRDefault="0088709D" w:rsidP="00FE452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2768" w:type="dxa"/>
            <w:tcBorders>
              <w:top w:val="nil"/>
              <w:left w:val="nil"/>
              <w:bottom w:val="nil"/>
              <w:right w:val="nil"/>
            </w:tcBorders>
            <w:shd w:val="clear" w:color="auto" w:fill="auto"/>
            <w:noWrap/>
            <w:vAlign w:val="bottom"/>
            <w:hideMark/>
          </w:tcPr>
          <w:p w:rsidR="00BD756E" w:rsidRPr="00BD756E" w:rsidRDefault="00BD756E" w:rsidP="007808E5">
            <w:pPr>
              <w:spacing w:after="0" w:line="240" w:lineRule="auto"/>
              <w:rPr>
                <w:rFonts w:ascii="Calibri" w:eastAsia="Times New Roman" w:hAnsi="Calibri" w:cs="Calibri"/>
                <w:color w:val="000000"/>
              </w:rPr>
            </w:pPr>
            <w:r w:rsidRPr="00BD756E">
              <w:rPr>
                <w:rFonts w:ascii="Calibri" w:eastAsia="Times New Roman" w:hAnsi="Calibri" w:cs="Calibri"/>
                <w:color w:val="000000"/>
              </w:rPr>
              <w:t xml:space="preserve"> $           </w:t>
            </w:r>
            <w:r>
              <w:rPr>
                <w:rFonts w:ascii="Calibri" w:eastAsia="Times New Roman" w:hAnsi="Calibri" w:cs="Calibri"/>
                <w:color w:val="000000"/>
              </w:rPr>
              <w:t xml:space="preserve">        </w:t>
            </w:r>
            <w:r w:rsidR="007808E5">
              <w:rPr>
                <w:rFonts w:ascii="Calibri" w:eastAsia="Times New Roman" w:hAnsi="Calibri" w:cs="Calibri"/>
                <w:color w:val="000000"/>
              </w:rPr>
              <w:t xml:space="preserve">       </w:t>
            </w:r>
            <w:r w:rsidRPr="00BD756E">
              <w:rPr>
                <w:rFonts w:ascii="Calibri" w:eastAsia="Times New Roman" w:hAnsi="Calibri" w:cs="Calibri"/>
                <w:color w:val="000000"/>
              </w:rPr>
              <w:t xml:space="preserve">   </w:t>
            </w:r>
            <w:r w:rsidR="002E37D5">
              <w:rPr>
                <w:rFonts w:ascii="Calibri" w:eastAsia="Times New Roman" w:hAnsi="Calibri" w:cs="Calibri"/>
                <w:color w:val="000000"/>
              </w:rPr>
              <w:t>60,375</w:t>
            </w:r>
            <w:r w:rsidR="00066497">
              <w:rPr>
                <w:rFonts w:ascii="Calibri" w:eastAsia="Times New Roman" w:hAnsi="Calibri" w:cs="Calibri"/>
                <w:color w:val="000000"/>
              </w:rPr>
              <w:t>,</w:t>
            </w:r>
            <w:r w:rsidR="002E37D5">
              <w:rPr>
                <w:rFonts w:ascii="Calibri" w:eastAsia="Times New Roman" w:hAnsi="Calibri" w:cs="Calibri"/>
                <w:color w:val="000000"/>
              </w:rPr>
              <w:t>787</w:t>
            </w:r>
          </w:p>
        </w:tc>
      </w:tr>
      <w:tr w:rsidR="00BD756E" w:rsidRPr="00BD756E" w:rsidTr="007808E5">
        <w:trPr>
          <w:trHeight w:val="273"/>
        </w:trPr>
        <w:tc>
          <w:tcPr>
            <w:tcW w:w="5193" w:type="dxa"/>
            <w:tcBorders>
              <w:top w:val="nil"/>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color w:val="000000"/>
              </w:rPr>
            </w:pPr>
          </w:p>
        </w:tc>
        <w:tc>
          <w:tcPr>
            <w:tcW w:w="2768" w:type="dxa"/>
            <w:tcBorders>
              <w:top w:val="double" w:sz="6" w:space="0" w:color="auto"/>
              <w:left w:val="nil"/>
              <w:bottom w:val="nil"/>
              <w:right w:val="nil"/>
            </w:tcBorders>
            <w:shd w:val="clear" w:color="auto" w:fill="auto"/>
            <w:noWrap/>
            <w:vAlign w:val="bottom"/>
            <w:hideMark/>
          </w:tcPr>
          <w:p w:rsidR="00BD756E" w:rsidRPr="00BD756E" w:rsidRDefault="00BD756E" w:rsidP="00FE452B">
            <w:pPr>
              <w:spacing w:after="0" w:line="240" w:lineRule="auto"/>
              <w:rPr>
                <w:rFonts w:ascii="Calibri" w:eastAsia="Times New Roman" w:hAnsi="Calibri" w:cs="Calibri"/>
                <w:color w:val="000000"/>
              </w:rPr>
            </w:pPr>
            <w:r w:rsidRPr="00BD756E">
              <w:rPr>
                <w:rFonts w:ascii="Calibri" w:eastAsia="Times New Roman" w:hAnsi="Calibri" w:cs="Calibri"/>
                <w:color w:val="000000"/>
              </w:rPr>
              <w:t> </w:t>
            </w:r>
          </w:p>
        </w:tc>
      </w:tr>
    </w:tbl>
    <w:p w:rsidR="00BD756E" w:rsidRDefault="00BD756E" w:rsidP="00FE452B">
      <w:pPr>
        <w:spacing w:after="0" w:line="240" w:lineRule="auto"/>
        <w:rPr>
          <w:b/>
        </w:rPr>
      </w:pPr>
      <w:r w:rsidRPr="00BD756E">
        <w:rPr>
          <w:b/>
        </w:rPr>
        <w:t xml:space="preserve"> </w:t>
      </w:r>
    </w:p>
    <w:p w:rsidR="00BD756E" w:rsidRDefault="007808E5" w:rsidP="00FE452B">
      <w:pPr>
        <w:spacing w:after="0" w:line="240" w:lineRule="auto"/>
        <w:rPr>
          <w:b/>
          <w:sz w:val="24"/>
          <w:szCs w:val="24"/>
        </w:rPr>
      </w:pPr>
      <w:r>
        <w:rPr>
          <w:b/>
          <w:sz w:val="24"/>
          <w:szCs w:val="24"/>
        </w:rPr>
        <w:t xml:space="preserve">2) </w:t>
      </w:r>
      <w:r w:rsidR="006B38CB">
        <w:rPr>
          <w:b/>
          <w:sz w:val="24"/>
          <w:szCs w:val="24"/>
        </w:rPr>
        <w:t xml:space="preserve"> </w:t>
      </w:r>
      <w:r w:rsidR="008E6FFE" w:rsidRPr="009F1DB4">
        <w:rPr>
          <w:b/>
          <w:sz w:val="24"/>
          <w:szCs w:val="24"/>
        </w:rPr>
        <w:t>DERECHOS A RECIBIR EFECTIVO O EQUIVALENTE</w:t>
      </w:r>
    </w:p>
    <w:p w:rsidR="007808E5" w:rsidRPr="009F1DB4" w:rsidRDefault="007808E5" w:rsidP="00FE452B">
      <w:pPr>
        <w:spacing w:after="0" w:line="240" w:lineRule="auto"/>
        <w:rPr>
          <w:b/>
          <w:sz w:val="24"/>
          <w:szCs w:val="24"/>
        </w:rPr>
      </w:pPr>
    </w:p>
    <w:p w:rsidR="00BD756E" w:rsidRDefault="00BD756E" w:rsidP="00FE452B">
      <w:pPr>
        <w:spacing w:after="0" w:line="240" w:lineRule="auto"/>
      </w:pPr>
      <w:r>
        <w:t>Los derechos a recibir efectivo o equivalentes a corto plazo, se integran de las siguientes cuentas por cobrar:</w:t>
      </w:r>
    </w:p>
    <w:tbl>
      <w:tblPr>
        <w:tblW w:w="8924" w:type="dxa"/>
        <w:tblInd w:w="54" w:type="dxa"/>
        <w:tblCellMar>
          <w:left w:w="70" w:type="dxa"/>
          <w:right w:w="70" w:type="dxa"/>
        </w:tblCellMar>
        <w:tblLook w:val="04A0" w:firstRow="1" w:lastRow="0" w:firstColumn="1" w:lastColumn="0" w:noHBand="0" w:noVBand="1"/>
      </w:tblPr>
      <w:tblGrid>
        <w:gridCol w:w="7290"/>
        <w:gridCol w:w="1917"/>
      </w:tblGrid>
      <w:tr w:rsidR="00EC403A" w:rsidRPr="00EC403A" w:rsidTr="001D2854">
        <w:trPr>
          <w:trHeight w:val="338"/>
        </w:trPr>
        <w:tc>
          <w:tcPr>
            <w:tcW w:w="6871" w:type="dxa"/>
            <w:tcBorders>
              <w:top w:val="nil"/>
              <w:left w:val="nil"/>
              <w:bottom w:val="nil"/>
              <w:right w:val="nil"/>
            </w:tcBorders>
            <w:shd w:val="clear" w:color="auto" w:fill="auto"/>
            <w:noWrap/>
            <w:vAlign w:val="bottom"/>
            <w:hideMark/>
          </w:tcPr>
          <w:tbl>
            <w:tblPr>
              <w:tblW w:w="7676" w:type="dxa"/>
              <w:tblCellMar>
                <w:left w:w="70" w:type="dxa"/>
                <w:right w:w="70" w:type="dxa"/>
              </w:tblCellMar>
              <w:tblLook w:val="04A0" w:firstRow="1" w:lastRow="0" w:firstColumn="1" w:lastColumn="0" w:noHBand="0" w:noVBand="1"/>
            </w:tblPr>
            <w:tblGrid>
              <w:gridCol w:w="4759"/>
              <w:gridCol w:w="2391"/>
            </w:tblGrid>
            <w:tr w:rsidR="001D2854" w:rsidRPr="001D2854" w:rsidTr="00FE452B">
              <w:trPr>
                <w:trHeight w:val="266"/>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p>
              </w:tc>
              <w:tc>
                <w:tcPr>
                  <w:tcW w:w="256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jc w:val="center"/>
                    <w:rPr>
                      <w:rFonts w:ascii="Calibri" w:eastAsia="Times New Roman" w:hAnsi="Calibri" w:cs="Calibri"/>
                      <w:b/>
                      <w:bCs/>
                      <w:color w:val="000000"/>
                    </w:rPr>
                  </w:pPr>
                </w:p>
              </w:tc>
            </w:tr>
            <w:tr w:rsidR="001D2854" w:rsidRPr="001D2854" w:rsidTr="00FE452B">
              <w:trPr>
                <w:trHeight w:val="266"/>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p>
              </w:tc>
              <w:tc>
                <w:tcPr>
                  <w:tcW w:w="256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p>
              </w:tc>
            </w:tr>
            <w:tr w:rsidR="001D2854" w:rsidRPr="001D2854" w:rsidTr="00FE452B">
              <w:trPr>
                <w:trHeight w:val="266"/>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r w:rsidRPr="001D2854">
                    <w:rPr>
                      <w:rFonts w:ascii="Calibri" w:eastAsia="Times New Roman" w:hAnsi="Calibri" w:cs="Calibri"/>
                      <w:color w:val="000000"/>
                    </w:rPr>
                    <w:t>Cuotas y aportaciones</w:t>
                  </w:r>
                </w:p>
              </w:tc>
              <w:tc>
                <w:tcPr>
                  <w:tcW w:w="256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r w:rsidRPr="001D2854">
                    <w:rPr>
                      <w:rFonts w:ascii="Calibri" w:eastAsia="Times New Roman" w:hAnsi="Calibri" w:cs="Calibri"/>
                      <w:color w:val="000000"/>
                    </w:rPr>
                    <w:t xml:space="preserve"> $       </w:t>
                  </w:r>
                  <w:r>
                    <w:rPr>
                      <w:rFonts w:ascii="Calibri" w:eastAsia="Times New Roman" w:hAnsi="Calibri" w:cs="Calibri"/>
                      <w:color w:val="000000"/>
                    </w:rPr>
                    <w:t xml:space="preserve">    </w:t>
                  </w:r>
                  <w:r w:rsidR="00066497">
                    <w:rPr>
                      <w:rFonts w:ascii="Calibri" w:eastAsia="Times New Roman" w:hAnsi="Calibri" w:cs="Calibri"/>
                      <w:color w:val="000000"/>
                    </w:rPr>
                    <w:t xml:space="preserve">  2,938,164,212</w:t>
                  </w:r>
                  <w:r w:rsidRPr="001D2854">
                    <w:rPr>
                      <w:rFonts w:ascii="Calibri" w:eastAsia="Times New Roman" w:hAnsi="Calibri" w:cs="Calibri"/>
                      <w:color w:val="000000"/>
                    </w:rPr>
                    <w:t xml:space="preserve"> </w:t>
                  </w:r>
                </w:p>
              </w:tc>
            </w:tr>
            <w:tr w:rsidR="001D2854" w:rsidRPr="001D2854" w:rsidTr="00FE452B">
              <w:trPr>
                <w:trHeight w:val="266"/>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r w:rsidRPr="001D2854">
                    <w:rPr>
                      <w:rFonts w:ascii="Calibri" w:eastAsia="Times New Roman" w:hAnsi="Calibri" w:cs="Calibri"/>
                      <w:color w:val="000000"/>
                    </w:rPr>
                    <w:t>Deudores diversos</w:t>
                  </w:r>
                </w:p>
              </w:tc>
              <w:tc>
                <w:tcPr>
                  <w:tcW w:w="2563" w:type="dxa"/>
                  <w:tcBorders>
                    <w:top w:val="nil"/>
                    <w:left w:val="nil"/>
                    <w:bottom w:val="nil"/>
                    <w:right w:val="nil"/>
                  </w:tcBorders>
                  <w:shd w:val="clear" w:color="auto" w:fill="auto"/>
                  <w:noWrap/>
                  <w:vAlign w:val="bottom"/>
                  <w:hideMark/>
                </w:tcPr>
                <w:p w:rsidR="001D2854" w:rsidRPr="001D2854" w:rsidRDefault="001D2854" w:rsidP="007776F2">
                  <w:pPr>
                    <w:spacing w:after="0" w:line="240" w:lineRule="auto"/>
                    <w:rPr>
                      <w:rFonts w:ascii="Calibri" w:eastAsia="Times New Roman" w:hAnsi="Calibri" w:cs="Calibri"/>
                      <w:color w:val="000000"/>
                    </w:rPr>
                  </w:pPr>
                  <w:r w:rsidRPr="001D2854">
                    <w:rPr>
                      <w:rFonts w:ascii="Calibri" w:eastAsia="Times New Roman" w:hAnsi="Calibri" w:cs="Calibri"/>
                      <w:color w:val="000000"/>
                    </w:rPr>
                    <w:t xml:space="preserve">            </w:t>
                  </w:r>
                  <w:r>
                    <w:rPr>
                      <w:rFonts w:ascii="Calibri" w:eastAsia="Times New Roman" w:hAnsi="Calibri" w:cs="Calibri"/>
                      <w:color w:val="000000"/>
                    </w:rPr>
                    <w:t xml:space="preserve"> </w:t>
                  </w:r>
                  <w:r w:rsidRPr="001D2854">
                    <w:rPr>
                      <w:rFonts w:ascii="Calibri" w:eastAsia="Times New Roman" w:hAnsi="Calibri" w:cs="Calibri"/>
                      <w:color w:val="000000"/>
                    </w:rPr>
                    <w:t xml:space="preserve"> </w:t>
                  </w:r>
                  <w:r w:rsidR="007776F2">
                    <w:rPr>
                      <w:rFonts w:ascii="Calibri" w:eastAsia="Times New Roman" w:hAnsi="Calibri" w:cs="Calibri"/>
                      <w:color w:val="000000"/>
                    </w:rPr>
                    <w:t xml:space="preserve">  1,121,</w:t>
                  </w:r>
                  <w:r w:rsidR="002E37D5">
                    <w:rPr>
                      <w:rFonts w:ascii="Calibri" w:eastAsia="Times New Roman" w:hAnsi="Calibri" w:cs="Calibri"/>
                      <w:color w:val="000000"/>
                    </w:rPr>
                    <w:t>990,398</w:t>
                  </w:r>
                </w:p>
              </w:tc>
            </w:tr>
            <w:tr w:rsidR="001D2854" w:rsidRPr="001D2854" w:rsidTr="00FE452B">
              <w:trPr>
                <w:trHeight w:val="266"/>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r w:rsidRPr="001D2854">
                    <w:rPr>
                      <w:rFonts w:ascii="Calibri" w:eastAsia="Times New Roman" w:hAnsi="Calibri" w:cs="Calibri"/>
                      <w:color w:val="000000"/>
                    </w:rPr>
                    <w:t>Préstamos por recuperar</w:t>
                  </w:r>
                </w:p>
              </w:tc>
              <w:tc>
                <w:tcPr>
                  <w:tcW w:w="2563" w:type="dxa"/>
                  <w:tcBorders>
                    <w:top w:val="nil"/>
                    <w:left w:val="nil"/>
                    <w:bottom w:val="nil"/>
                    <w:right w:val="nil"/>
                  </w:tcBorders>
                  <w:shd w:val="clear" w:color="auto" w:fill="auto"/>
                  <w:noWrap/>
                  <w:vAlign w:val="bottom"/>
                  <w:hideMark/>
                </w:tcPr>
                <w:p w:rsidR="001D2854" w:rsidRPr="001D2854" w:rsidRDefault="00C32BC0"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2E37D5">
                    <w:rPr>
                      <w:rFonts w:ascii="Calibri" w:eastAsia="Times New Roman" w:hAnsi="Calibri" w:cs="Calibri"/>
                      <w:color w:val="000000"/>
                    </w:rPr>
                    <w:t>30,374</w:t>
                  </w:r>
                  <w:r w:rsidR="007776F2">
                    <w:rPr>
                      <w:rFonts w:ascii="Calibri" w:eastAsia="Times New Roman" w:hAnsi="Calibri" w:cs="Calibri"/>
                      <w:color w:val="000000"/>
                    </w:rPr>
                    <w:t>,</w:t>
                  </w:r>
                  <w:r w:rsidR="002E37D5">
                    <w:rPr>
                      <w:rFonts w:ascii="Calibri" w:eastAsia="Times New Roman" w:hAnsi="Calibri" w:cs="Calibri"/>
                      <w:color w:val="000000"/>
                    </w:rPr>
                    <w:t>493</w:t>
                  </w:r>
                </w:p>
              </w:tc>
            </w:tr>
            <w:tr w:rsidR="001D2854" w:rsidRPr="001D2854" w:rsidTr="00FE452B">
              <w:trPr>
                <w:trHeight w:val="266"/>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r w:rsidRPr="001D2854">
                    <w:rPr>
                      <w:rFonts w:ascii="Calibri" w:eastAsia="Times New Roman" w:hAnsi="Calibri" w:cs="Calibri"/>
                      <w:color w:val="000000"/>
                    </w:rPr>
                    <w:t>Créditos hipotecarios</w:t>
                  </w:r>
                </w:p>
              </w:tc>
              <w:tc>
                <w:tcPr>
                  <w:tcW w:w="2563" w:type="dxa"/>
                  <w:tcBorders>
                    <w:top w:val="nil"/>
                    <w:left w:val="nil"/>
                    <w:bottom w:val="nil"/>
                    <w:right w:val="nil"/>
                  </w:tcBorders>
                  <w:shd w:val="clear" w:color="auto" w:fill="auto"/>
                  <w:noWrap/>
                  <w:vAlign w:val="bottom"/>
                  <w:hideMark/>
                </w:tcPr>
                <w:p w:rsidR="001D2854" w:rsidRPr="001D2854" w:rsidRDefault="00C32BC0"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1D2854" w:rsidRPr="001D2854">
                    <w:rPr>
                      <w:rFonts w:ascii="Calibri" w:eastAsia="Times New Roman" w:hAnsi="Calibri" w:cs="Calibri"/>
                      <w:color w:val="000000"/>
                    </w:rPr>
                    <w:t>19,777,972</w:t>
                  </w:r>
                </w:p>
              </w:tc>
            </w:tr>
            <w:tr w:rsidR="001D2854" w:rsidRPr="001D2854" w:rsidTr="00FE452B">
              <w:trPr>
                <w:trHeight w:val="266"/>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r w:rsidRPr="001D2854">
                    <w:rPr>
                      <w:rFonts w:ascii="Calibri" w:eastAsia="Times New Roman" w:hAnsi="Calibri" w:cs="Calibri"/>
                      <w:color w:val="000000"/>
                    </w:rPr>
                    <w:t>Otros derechos</w:t>
                  </w:r>
                </w:p>
              </w:tc>
              <w:tc>
                <w:tcPr>
                  <w:tcW w:w="2563" w:type="dxa"/>
                  <w:tcBorders>
                    <w:top w:val="nil"/>
                    <w:left w:val="nil"/>
                    <w:bottom w:val="nil"/>
                    <w:right w:val="nil"/>
                  </w:tcBorders>
                  <w:shd w:val="clear" w:color="auto" w:fill="auto"/>
                  <w:noWrap/>
                  <w:vAlign w:val="bottom"/>
                  <w:hideMark/>
                </w:tcPr>
                <w:p w:rsidR="001D2854" w:rsidRPr="001D2854" w:rsidRDefault="00C32BC0"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D15144">
                    <w:rPr>
                      <w:rFonts w:ascii="Calibri" w:eastAsia="Times New Roman" w:hAnsi="Calibri" w:cs="Calibri"/>
                      <w:color w:val="000000"/>
                    </w:rPr>
                    <w:t>368,038</w:t>
                  </w:r>
                </w:p>
              </w:tc>
            </w:tr>
            <w:tr w:rsidR="001D2854" w:rsidRPr="001D2854" w:rsidTr="00FE452B">
              <w:trPr>
                <w:trHeight w:val="266"/>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r w:rsidRPr="001D2854">
                    <w:rPr>
                      <w:rFonts w:ascii="Calibri" w:eastAsia="Times New Roman" w:hAnsi="Calibri" w:cs="Calibri"/>
                      <w:color w:val="000000"/>
                    </w:rPr>
                    <w:t>Anticipo a proveedores</w:t>
                  </w:r>
                </w:p>
              </w:tc>
              <w:tc>
                <w:tcPr>
                  <w:tcW w:w="2563" w:type="dxa"/>
                  <w:tcBorders>
                    <w:top w:val="nil"/>
                    <w:left w:val="nil"/>
                    <w:bottom w:val="nil"/>
                    <w:right w:val="nil"/>
                  </w:tcBorders>
                  <w:shd w:val="clear" w:color="auto" w:fill="auto"/>
                  <w:noWrap/>
                  <w:vAlign w:val="bottom"/>
                  <w:hideMark/>
                </w:tcPr>
                <w:p w:rsidR="001D2854" w:rsidRPr="001D2854" w:rsidRDefault="00C32BC0" w:rsidP="00D151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2E37D5">
                    <w:rPr>
                      <w:rFonts w:ascii="Calibri" w:eastAsia="Times New Roman" w:hAnsi="Calibri" w:cs="Calibri"/>
                      <w:color w:val="000000"/>
                    </w:rPr>
                    <w:t xml:space="preserve">       18,431,612</w:t>
                  </w:r>
                  <w:r>
                    <w:rPr>
                      <w:rFonts w:ascii="Calibri" w:eastAsia="Times New Roman" w:hAnsi="Calibri" w:cs="Calibri"/>
                      <w:color w:val="000000"/>
                    </w:rPr>
                    <w:t xml:space="preserve">          </w:t>
                  </w:r>
                  <w:r w:rsidR="00D15144">
                    <w:rPr>
                      <w:rFonts w:ascii="Calibri" w:eastAsia="Times New Roman" w:hAnsi="Calibri" w:cs="Calibri"/>
                      <w:color w:val="000000"/>
                    </w:rPr>
                    <w:t xml:space="preserve">                  </w:t>
                  </w:r>
                </w:p>
              </w:tc>
            </w:tr>
            <w:tr w:rsidR="001D2854" w:rsidRPr="001D2854" w:rsidTr="00FE452B">
              <w:trPr>
                <w:trHeight w:val="277"/>
              </w:trPr>
              <w:tc>
                <w:tcPr>
                  <w:tcW w:w="5113" w:type="dxa"/>
                  <w:tcBorders>
                    <w:top w:val="nil"/>
                    <w:left w:val="nil"/>
                    <w:bottom w:val="nil"/>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p>
              </w:tc>
              <w:tc>
                <w:tcPr>
                  <w:tcW w:w="2563" w:type="dxa"/>
                  <w:tcBorders>
                    <w:top w:val="single" w:sz="4" w:space="0" w:color="auto"/>
                    <w:left w:val="nil"/>
                    <w:bottom w:val="double" w:sz="6" w:space="0" w:color="auto"/>
                    <w:right w:val="nil"/>
                  </w:tcBorders>
                  <w:shd w:val="clear" w:color="auto" w:fill="auto"/>
                  <w:noWrap/>
                  <w:vAlign w:val="bottom"/>
                  <w:hideMark/>
                </w:tcPr>
                <w:p w:rsidR="001D2854" w:rsidRPr="001D2854" w:rsidRDefault="001D2854" w:rsidP="00FE452B">
                  <w:pPr>
                    <w:spacing w:after="0" w:line="240" w:lineRule="auto"/>
                    <w:rPr>
                      <w:rFonts w:ascii="Calibri" w:eastAsia="Times New Roman" w:hAnsi="Calibri" w:cs="Calibri"/>
                      <w:color w:val="000000"/>
                    </w:rPr>
                  </w:pPr>
                  <w:r w:rsidRPr="001D2854">
                    <w:rPr>
                      <w:rFonts w:ascii="Calibri" w:eastAsia="Times New Roman" w:hAnsi="Calibri" w:cs="Calibri"/>
                      <w:color w:val="000000"/>
                    </w:rPr>
                    <w:t xml:space="preserve"> $      </w:t>
                  </w:r>
                  <w:r>
                    <w:rPr>
                      <w:rFonts w:ascii="Calibri" w:eastAsia="Times New Roman" w:hAnsi="Calibri" w:cs="Calibri"/>
                      <w:color w:val="000000"/>
                    </w:rPr>
                    <w:t xml:space="preserve">  </w:t>
                  </w:r>
                  <w:r w:rsidRPr="001D2854">
                    <w:rPr>
                      <w:rFonts w:ascii="Calibri" w:eastAsia="Times New Roman" w:hAnsi="Calibri" w:cs="Calibri"/>
                      <w:color w:val="000000"/>
                    </w:rPr>
                    <w:t xml:space="preserve">  </w:t>
                  </w:r>
                  <w:r>
                    <w:rPr>
                      <w:rFonts w:ascii="Calibri" w:eastAsia="Times New Roman" w:hAnsi="Calibri" w:cs="Calibri"/>
                      <w:color w:val="000000"/>
                    </w:rPr>
                    <w:t xml:space="preserve">   </w:t>
                  </w:r>
                  <w:r w:rsidR="002E37D5">
                    <w:rPr>
                      <w:rFonts w:ascii="Calibri" w:eastAsia="Times New Roman" w:hAnsi="Calibri" w:cs="Calibri"/>
                      <w:color w:val="000000"/>
                    </w:rPr>
                    <w:t xml:space="preserve"> 4,129,106,725</w:t>
                  </w:r>
                  <w:r w:rsidRPr="001D2854">
                    <w:rPr>
                      <w:rFonts w:ascii="Calibri" w:eastAsia="Times New Roman" w:hAnsi="Calibri" w:cs="Calibri"/>
                      <w:color w:val="000000"/>
                    </w:rPr>
                    <w:t xml:space="preserve"> </w:t>
                  </w:r>
                </w:p>
              </w:tc>
            </w:tr>
          </w:tbl>
          <w:p w:rsidR="00EC403A" w:rsidRPr="00EC403A" w:rsidRDefault="00EC403A" w:rsidP="00FE452B">
            <w:pPr>
              <w:spacing w:after="0" w:line="240" w:lineRule="auto"/>
              <w:rPr>
                <w:rFonts w:ascii="Calibri" w:eastAsia="Times New Roman" w:hAnsi="Calibri" w:cs="Calibri"/>
                <w:color w:val="000000"/>
              </w:rPr>
            </w:pPr>
          </w:p>
        </w:tc>
        <w:tc>
          <w:tcPr>
            <w:tcW w:w="2053" w:type="dxa"/>
            <w:tcBorders>
              <w:top w:val="nil"/>
              <w:left w:val="nil"/>
              <w:bottom w:val="nil"/>
              <w:right w:val="nil"/>
            </w:tcBorders>
            <w:shd w:val="clear" w:color="auto" w:fill="auto"/>
            <w:noWrap/>
            <w:vAlign w:val="bottom"/>
            <w:hideMark/>
          </w:tcPr>
          <w:p w:rsidR="00EC403A" w:rsidRPr="00EC403A" w:rsidRDefault="00EC403A" w:rsidP="00FE452B">
            <w:pPr>
              <w:spacing w:after="0" w:line="240" w:lineRule="auto"/>
              <w:jc w:val="center"/>
              <w:rPr>
                <w:rFonts w:ascii="Calibri" w:eastAsia="Times New Roman" w:hAnsi="Calibri" w:cs="Calibri"/>
                <w:b/>
                <w:bCs/>
                <w:color w:val="000000"/>
              </w:rPr>
            </w:pPr>
          </w:p>
        </w:tc>
      </w:tr>
      <w:tr w:rsidR="00EC403A" w:rsidRPr="00EC403A" w:rsidTr="001D2854">
        <w:trPr>
          <w:trHeight w:val="338"/>
        </w:trPr>
        <w:tc>
          <w:tcPr>
            <w:tcW w:w="6871" w:type="dxa"/>
            <w:tcBorders>
              <w:top w:val="nil"/>
              <w:left w:val="nil"/>
              <w:bottom w:val="nil"/>
              <w:right w:val="nil"/>
            </w:tcBorders>
            <w:shd w:val="clear" w:color="auto" w:fill="auto"/>
            <w:noWrap/>
            <w:vAlign w:val="bottom"/>
            <w:hideMark/>
          </w:tcPr>
          <w:p w:rsidR="00EC403A" w:rsidRPr="00EC403A" w:rsidRDefault="00EC403A" w:rsidP="00FE452B">
            <w:pPr>
              <w:spacing w:after="0" w:line="240" w:lineRule="auto"/>
              <w:rPr>
                <w:rFonts w:ascii="Calibri" w:eastAsia="Times New Roman" w:hAnsi="Calibri" w:cs="Calibri"/>
                <w:color w:val="000000"/>
              </w:rPr>
            </w:pPr>
          </w:p>
        </w:tc>
        <w:tc>
          <w:tcPr>
            <w:tcW w:w="2053" w:type="dxa"/>
            <w:tcBorders>
              <w:top w:val="nil"/>
              <w:left w:val="nil"/>
              <w:bottom w:val="nil"/>
              <w:right w:val="nil"/>
            </w:tcBorders>
            <w:shd w:val="clear" w:color="auto" w:fill="auto"/>
            <w:noWrap/>
            <w:vAlign w:val="bottom"/>
            <w:hideMark/>
          </w:tcPr>
          <w:p w:rsidR="00EC403A" w:rsidRPr="00EC403A" w:rsidRDefault="00EC403A" w:rsidP="00FE452B">
            <w:pPr>
              <w:spacing w:after="0" w:line="240" w:lineRule="auto"/>
              <w:rPr>
                <w:rFonts w:ascii="Calibri" w:eastAsia="Times New Roman" w:hAnsi="Calibri" w:cs="Calibri"/>
                <w:color w:val="000000"/>
              </w:rPr>
            </w:pPr>
          </w:p>
        </w:tc>
      </w:tr>
      <w:tr w:rsidR="00EC403A" w:rsidRPr="00EC403A" w:rsidTr="001D2854">
        <w:trPr>
          <w:trHeight w:val="338"/>
        </w:trPr>
        <w:tc>
          <w:tcPr>
            <w:tcW w:w="6871" w:type="dxa"/>
            <w:tcBorders>
              <w:top w:val="nil"/>
              <w:left w:val="nil"/>
              <w:bottom w:val="nil"/>
              <w:right w:val="nil"/>
            </w:tcBorders>
            <w:shd w:val="clear" w:color="auto" w:fill="auto"/>
            <w:noWrap/>
            <w:vAlign w:val="bottom"/>
            <w:hideMark/>
          </w:tcPr>
          <w:p w:rsidR="00EC403A" w:rsidRPr="00EC403A" w:rsidRDefault="00EC403A" w:rsidP="00FE452B">
            <w:pPr>
              <w:spacing w:after="0" w:line="240" w:lineRule="auto"/>
              <w:rPr>
                <w:rFonts w:ascii="Calibri" w:eastAsia="Times New Roman" w:hAnsi="Calibri" w:cs="Calibri"/>
                <w:color w:val="000000"/>
              </w:rPr>
            </w:pPr>
          </w:p>
        </w:tc>
        <w:tc>
          <w:tcPr>
            <w:tcW w:w="2053" w:type="dxa"/>
            <w:tcBorders>
              <w:top w:val="nil"/>
              <w:left w:val="nil"/>
              <w:bottom w:val="nil"/>
              <w:right w:val="nil"/>
            </w:tcBorders>
            <w:shd w:val="clear" w:color="auto" w:fill="auto"/>
            <w:noWrap/>
            <w:vAlign w:val="bottom"/>
            <w:hideMark/>
          </w:tcPr>
          <w:p w:rsidR="00EC403A" w:rsidRPr="00EC403A" w:rsidRDefault="00EC403A" w:rsidP="00FE452B">
            <w:pPr>
              <w:spacing w:after="0" w:line="240" w:lineRule="auto"/>
              <w:rPr>
                <w:rFonts w:ascii="Calibri" w:eastAsia="Times New Roman" w:hAnsi="Calibri" w:cs="Calibri"/>
                <w:color w:val="000000"/>
              </w:rPr>
            </w:pPr>
          </w:p>
        </w:tc>
      </w:tr>
    </w:tbl>
    <w:p w:rsidR="001D2854" w:rsidRPr="001D2854" w:rsidRDefault="007808E5" w:rsidP="00FE452B">
      <w:pPr>
        <w:spacing w:after="0" w:line="240" w:lineRule="auto"/>
        <w:rPr>
          <w:b/>
          <w:sz w:val="24"/>
          <w:szCs w:val="24"/>
        </w:rPr>
      </w:pPr>
      <w:r>
        <w:rPr>
          <w:b/>
          <w:sz w:val="24"/>
          <w:szCs w:val="24"/>
        </w:rPr>
        <w:t xml:space="preserve">3) </w:t>
      </w:r>
      <w:r w:rsidR="00FE452B" w:rsidRPr="009F1DB4">
        <w:rPr>
          <w:b/>
          <w:sz w:val="24"/>
          <w:szCs w:val="24"/>
        </w:rPr>
        <w:t>INVENTARIOS</w:t>
      </w:r>
    </w:p>
    <w:p w:rsidR="00224B5A" w:rsidRDefault="001D2854" w:rsidP="00FE452B">
      <w:pPr>
        <w:spacing w:after="0" w:line="240" w:lineRule="auto"/>
      </w:pPr>
      <w:r>
        <w:t>Este concepto se analiza como sigue:</w:t>
      </w:r>
    </w:p>
    <w:tbl>
      <w:tblPr>
        <w:tblW w:w="7639" w:type="dxa"/>
        <w:tblInd w:w="54" w:type="dxa"/>
        <w:tblCellMar>
          <w:left w:w="70" w:type="dxa"/>
          <w:right w:w="70" w:type="dxa"/>
        </w:tblCellMar>
        <w:tblLook w:val="04A0" w:firstRow="1" w:lastRow="0" w:firstColumn="1" w:lastColumn="0" w:noHBand="0" w:noVBand="1"/>
      </w:tblPr>
      <w:tblGrid>
        <w:gridCol w:w="5101"/>
        <w:gridCol w:w="2538"/>
      </w:tblGrid>
      <w:tr w:rsidR="00F12968" w:rsidRPr="00F12968" w:rsidTr="008E6FFE">
        <w:trPr>
          <w:trHeight w:val="219"/>
        </w:trPr>
        <w:tc>
          <w:tcPr>
            <w:tcW w:w="5101"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p>
        </w:tc>
        <w:tc>
          <w:tcPr>
            <w:tcW w:w="2538"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jc w:val="center"/>
              <w:rPr>
                <w:rFonts w:ascii="Calibri" w:eastAsia="Times New Roman" w:hAnsi="Calibri" w:cs="Calibri"/>
                <w:b/>
                <w:bCs/>
                <w:color w:val="000000"/>
              </w:rPr>
            </w:pPr>
          </w:p>
        </w:tc>
      </w:tr>
      <w:tr w:rsidR="00F12968" w:rsidRPr="00F12968" w:rsidTr="008E6FFE">
        <w:trPr>
          <w:trHeight w:val="219"/>
        </w:trPr>
        <w:tc>
          <w:tcPr>
            <w:tcW w:w="5101"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p>
        </w:tc>
        <w:tc>
          <w:tcPr>
            <w:tcW w:w="2538"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p>
        </w:tc>
      </w:tr>
      <w:tr w:rsidR="00F12968" w:rsidRPr="00F12968" w:rsidTr="008E6FFE">
        <w:trPr>
          <w:trHeight w:val="219"/>
        </w:trPr>
        <w:tc>
          <w:tcPr>
            <w:tcW w:w="5101"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r w:rsidRPr="00F12968">
              <w:rPr>
                <w:rFonts w:ascii="Calibri" w:eastAsia="Times New Roman" w:hAnsi="Calibri" w:cs="Calibri"/>
                <w:color w:val="000000"/>
              </w:rPr>
              <w:t>Almacén de medicamentos, suministros</w:t>
            </w:r>
          </w:p>
        </w:tc>
        <w:tc>
          <w:tcPr>
            <w:tcW w:w="2538"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p>
        </w:tc>
      </w:tr>
      <w:tr w:rsidR="00F12968" w:rsidRPr="00F12968" w:rsidTr="008E6FFE">
        <w:trPr>
          <w:trHeight w:val="219"/>
        </w:trPr>
        <w:tc>
          <w:tcPr>
            <w:tcW w:w="5101"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r w:rsidRPr="00F12968">
              <w:rPr>
                <w:rFonts w:ascii="Calibri" w:eastAsia="Times New Roman" w:hAnsi="Calibri" w:cs="Calibri"/>
                <w:color w:val="000000"/>
              </w:rPr>
              <w:t>generales y artículos de oficina</w:t>
            </w:r>
          </w:p>
        </w:tc>
        <w:tc>
          <w:tcPr>
            <w:tcW w:w="2538"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r w:rsidRPr="00F12968">
              <w:rPr>
                <w:rFonts w:ascii="Calibri" w:eastAsia="Times New Roman" w:hAnsi="Calibri" w:cs="Calibri"/>
                <w:color w:val="000000"/>
              </w:rPr>
              <w:t xml:space="preserve"> $            </w:t>
            </w:r>
            <w:r>
              <w:rPr>
                <w:rFonts w:ascii="Calibri" w:eastAsia="Times New Roman" w:hAnsi="Calibri" w:cs="Calibri"/>
                <w:color w:val="000000"/>
              </w:rPr>
              <w:t xml:space="preserve">       </w:t>
            </w:r>
            <w:r w:rsidR="008656BF">
              <w:rPr>
                <w:rFonts w:ascii="Calibri" w:eastAsia="Times New Roman" w:hAnsi="Calibri" w:cs="Calibri"/>
                <w:color w:val="000000"/>
              </w:rPr>
              <w:t>11</w:t>
            </w:r>
            <w:r w:rsidR="002E37D5">
              <w:rPr>
                <w:rFonts w:ascii="Calibri" w:eastAsia="Times New Roman" w:hAnsi="Calibri" w:cs="Calibri"/>
                <w:color w:val="000000"/>
              </w:rPr>
              <w:t>8,711,754</w:t>
            </w:r>
          </w:p>
        </w:tc>
      </w:tr>
      <w:tr w:rsidR="00F12968" w:rsidRPr="00F12968" w:rsidTr="008E6FFE">
        <w:trPr>
          <w:trHeight w:val="219"/>
        </w:trPr>
        <w:tc>
          <w:tcPr>
            <w:tcW w:w="5101"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r w:rsidRPr="00F12968">
              <w:rPr>
                <w:rFonts w:ascii="Calibri" w:eastAsia="Times New Roman" w:hAnsi="Calibri" w:cs="Calibri"/>
                <w:color w:val="000000"/>
              </w:rPr>
              <w:t>Mercancía en tránsito</w:t>
            </w:r>
          </w:p>
        </w:tc>
        <w:tc>
          <w:tcPr>
            <w:tcW w:w="2538" w:type="dxa"/>
            <w:tcBorders>
              <w:top w:val="nil"/>
              <w:left w:val="nil"/>
              <w:bottom w:val="nil"/>
              <w:right w:val="nil"/>
            </w:tcBorders>
            <w:shd w:val="clear" w:color="auto" w:fill="auto"/>
            <w:noWrap/>
            <w:vAlign w:val="bottom"/>
            <w:hideMark/>
          </w:tcPr>
          <w:p w:rsidR="00F12968" w:rsidRPr="00F12968" w:rsidRDefault="008E6FFE"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8656BF">
              <w:rPr>
                <w:rFonts w:ascii="Calibri" w:eastAsia="Times New Roman" w:hAnsi="Calibri" w:cs="Calibri"/>
                <w:color w:val="000000"/>
              </w:rPr>
              <w:t>1,</w:t>
            </w:r>
            <w:r w:rsidR="006D4FFF">
              <w:rPr>
                <w:rFonts w:ascii="Calibri" w:eastAsia="Times New Roman" w:hAnsi="Calibri" w:cs="Calibri"/>
                <w:color w:val="000000"/>
              </w:rPr>
              <w:t>347,489</w:t>
            </w:r>
          </w:p>
        </w:tc>
      </w:tr>
      <w:tr w:rsidR="00F12968" w:rsidRPr="00F12968" w:rsidTr="008E6FFE">
        <w:trPr>
          <w:trHeight w:val="228"/>
        </w:trPr>
        <w:tc>
          <w:tcPr>
            <w:tcW w:w="5101"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p>
        </w:tc>
        <w:tc>
          <w:tcPr>
            <w:tcW w:w="2538" w:type="dxa"/>
            <w:tcBorders>
              <w:top w:val="single" w:sz="4" w:space="0" w:color="auto"/>
              <w:left w:val="nil"/>
              <w:bottom w:val="double" w:sz="6" w:space="0" w:color="auto"/>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r w:rsidRPr="00F12968">
              <w:rPr>
                <w:rFonts w:ascii="Calibri" w:eastAsia="Times New Roman" w:hAnsi="Calibri" w:cs="Calibri"/>
                <w:color w:val="000000"/>
              </w:rPr>
              <w:t xml:space="preserve"> $          </w:t>
            </w:r>
            <w:r>
              <w:rPr>
                <w:rFonts w:ascii="Calibri" w:eastAsia="Times New Roman" w:hAnsi="Calibri" w:cs="Calibri"/>
                <w:color w:val="000000"/>
              </w:rPr>
              <w:t xml:space="preserve">       </w:t>
            </w:r>
            <w:r w:rsidR="006D4FFF">
              <w:rPr>
                <w:rFonts w:ascii="Calibri" w:eastAsia="Times New Roman" w:hAnsi="Calibri" w:cs="Calibri"/>
                <w:color w:val="000000"/>
              </w:rPr>
              <w:t xml:space="preserve">  120,059,243</w:t>
            </w:r>
            <w:r w:rsidRPr="00F12968">
              <w:rPr>
                <w:rFonts w:ascii="Calibri" w:eastAsia="Times New Roman" w:hAnsi="Calibri" w:cs="Calibri"/>
                <w:color w:val="000000"/>
              </w:rPr>
              <w:t xml:space="preserve"> </w:t>
            </w:r>
          </w:p>
        </w:tc>
      </w:tr>
      <w:tr w:rsidR="00F12968" w:rsidRPr="00F12968" w:rsidTr="008E6FFE">
        <w:trPr>
          <w:trHeight w:val="228"/>
        </w:trPr>
        <w:tc>
          <w:tcPr>
            <w:tcW w:w="5101"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p>
        </w:tc>
        <w:tc>
          <w:tcPr>
            <w:tcW w:w="2538" w:type="dxa"/>
            <w:tcBorders>
              <w:top w:val="nil"/>
              <w:left w:val="nil"/>
              <w:bottom w:val="nil"/>
              <w:right w:val="nil"/>
            </w:tcBorders>
            <w:shd w:val="clear" w:color="auto" w:fill="auto"/>
            <w:noWrap/>
            <w:vAlign w:val="bottom"/>
            <w:hideMark/>
          </w:tcPr>
          <w:p w:rsidR="00F12968" w:rsidRPr="00F12968" w:rsidRDefault="00F12968" w:rsidP="00FE452B">
            <w:pPr>
              <w:spacing w:after="0" w:line="240" w:lineRule="auto"/>
              <w:rPr>
                <w:rFonts w:ascii="Calibri" w:eastAsia="Times New Roman" w:hAnsi="Calibri" w:cs="Calibri"/>
                <w:color w:val="000000"/>
              </w:rPr>
            </w:pPr>
          </w:p>
        </w:tc>
      </w:tr>
    </w:tbl>
    <w:p w:rsidR="00224B5A" w:rsidRDefault="0088709D" w:rsidP="00FE452B">
      <w:pPr>
        <w:spacing w:after="0" w:line="240" w:lineRule="auto"/>
        <w:jc w:val="both"/>
      </w:pPr>
      <w:r>
        <w:t>Los inventarios al 30 de Juni</w:t>
      </w:r>
      <w:r w:rsidR="00F12968">
        <w:t>o de 2016, se componen por diversos medicamentos, materiales y suministros médicos, materiales de oficina, requeridos para la prestación de bienes y servicios y para el desempeño de las actividades administrativas de la entidad.</w:t>
      </w:r>
    </w:p>
    <w:p w:rsidR="008E6FFE" w:rsidRDefault="008E6FFE" w:rsidP="00FE452B">
      <w:pPr>
        <w:spacing w:after="0" w:line="240" w:lineRule="auto"/>
        <w:rPr>
          <w:b/>
          <w:sz w:val="24"/>
          <w:szCs w:val="24"/>
        </w:rPr>
      </w:pPr>
    </w:p>
    <w:p w:rsidR="001D2854" w:rsidRDefault="007808E5" w:rsidP="00FE452B">
      <w:pPr>
        <w:spacing w:after="0" w:line="240" w:lineRule="auto"/>
      </w:pPr>
      <w:r>
        <w:rPr>
          <w:b/>
          <w:sz w:val="24"/>
          <w:szCs w:val="24"/>
        </w:rPr>
        <w:t xml:space="preserve">4) </w:t>
      </w:r>
      <w:r w:rsidR="008E6FFE" w:rsidRPr="009F1DB4">
        <w:rPr>
          <w:b/>
          <w:sz w:val="24"/>
          <w:szCs w:val="24"/>
        </w:rPr>
        <w:t>INVERSIONES FINANCIERAS A LARGO PLAZO</w:t>
      </w:r>
    </w:p>
    <w:p w:rsidR="001D2854" w:rsidRDefault="00B608D8" w:rsidP="00FE452B">
      <w:pPr>
        <w:spacing w:after="0" w:line="240" w:lineRule="auto"/>
      </w:pPr>
      <w:r>
        <w:t>Al  30 de Juni</w:t>
      </w:r>
      <w:r w:rsidR="001D2854">
        <w:t>o de 2016, este rubro se integra como sigue:</w:t>
      </w:r>
    </w:p>
    <w:tbl>
      <w:tblPr>
        <w:tblW w:w="8059" w:type="dxa"/>
        <w:tblInd w:w="54" w:type="dxa"/>
        <w:tblCellMar>
          <w:left w:w="70" w:type="dxa"/>
          <w:right w:w="70" w:type="dxa"/>
        </w:tblCellMar>
        <w:tblLook w:val="04A0" w:firstRow="1" w:lastRow="0" w:firstColumn="1" w:lastColumn="0" w:noHBand="0" w:noVBand="1"/>
      </w:tblPr>
      <w:tblGrid>
        <w:gridCol w:w="5257"/>
        <w:gridCol w:w="2802"/>
      </w:tblGrid>
      <w:tr w:rsidR="001D2854" w:rsidRPr="00ED398A" w:rsidTr="00FE452B">
        <w:trPr>
          <w:trHeight w:val="261"/>
        </w:trPr>
        <w:tc>
          <w:tcPr>
            <w:tcW w:w="5257"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p>
        </w:tc>
        <w:tc>
          <w:tcPr>
            <w:tcW w:w="2802"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b/>
                <w:bCs/>
                <w:color w:val="000000"/>
              </w:rPr>
            </w:pPr>
          </w:p>
        </w:tc>
      </w:tr>
      <w:tr w:rsidR="001D2854" w:rsidRPr="00ED398A" w:rsidTr="00FE452B">
        <w:trPr>
          <w:trHeight w:val="261"/>
        </w:trPr>
        <w:tc>
          <w:tcPr>
            <w:tcW w:w="5257"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p>
        </w:tc>
        <w:tc>
          <w:tcPr>
            <w:tcW w:w="2802"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jc w:val="center"/>
              <w:rPr>
                <w:rFonts w:ascii="Calibri" w:eastAsia="Times New Roman" w:hAnsi="Calibri" w:cs="Calibri"/>
                <w:b/>
                <w:bCs/>
                <w:color w:val="000000"/>
              </w:rPr>
            </w:pPr>
          </w:p>
        </w:tc>
      </w:tr>
      <w:tr w:rsidR="001D2854" w:rsidRPr="00ED398A" w:rsidTr="00FE452B">
        <w:trPr>
          <w:trHeight w:val="261"/>
        </w:trPr>
        <w:tc>
          <w:tcPr>
            <w:tcW w:w="5257"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Fideicomiso a Plan de Pensiones</w:t>
            </w:r>
          </w:p>
        </w:tc>
        <w:tc>
          <w:tcPr>
            <w:tcW w:w="2802"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 xml:space="preserve"> $            </w:t>
            </w:r>
            <w:r w:rsidR="008656BF">
              <w:rPr>
                <w:rFonts w:ascii="Calibri" w:eastAsia="Times New Roman" w:hAnsi="Calibri" w:cs="Calibri"/>
                <w:color w:val="000000"/>
              </w:rPr>
              <w:t xml:space="preserve">          </w:t>
            </w:r>
            <w:r w:rsidR="006D4FFF">
              <w:rPr>
                <w:rFonts w:ascii="Calibri" w:eastAsia="Times New Roman" w:hAnsi="Calibri" w:cs="Calibri"/>
                <w:color w:val="000000"/>
              </w:rPr>
              <w:t>323,198,300</w:t>
            </w:r>
          </w:p>
        </w:tc>
      </w:tr>
      <w:tr w:rsidR="001D2854" w:rsidRPr="00ED398A" w:rsidTr="00FE452B">
        <w:trPr>
          <w:trHeight w:val="261"/>
        </w:trPr>
        <w:tc>
          <w:tcPr>
            <w:tcW w:w="5257"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Fideicomiso FOVISSSTESON</w:t>
            </w:r>
          </w:p>
        </w:tc>
        <w:tc>
          <w:tcPr>
            <w:tcW w:w="2802" w:type="dxa"/>
            <w:tcBorders>
              <w:top w:val="nil"/>
              <w:left w:val="nil"/>
              <w:bottom w:val="nil"/>
              <w:right w:val="nil"/>
            </w:tcBorders>
            <w:shd w:val="clear" w:color="auto" w:fill="auto"/>
            <w:noWrap/>
            <w:vAlign w:val="bottom"/>
            <w:hideMark/>
          </w:tcPr>
          <w:p w:rsidR="001D2854" w:rsidRPr="00ED398A" w:rsidRDefault="00FE452B"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8E6FFE">
              <w:rPr>
                <w:rFonts w:ascii="Calibri" w:eastAsia="Times New Roman" w:hAnsi="Calibri" w:cs="Calibri"/>
                <w:color w:val="000000"/>
              </w:rPr>
              <w:t xml:space="preserve">  </w:t>
            </w:r>
            <w:r w:rsidR="006D4FFF">
              <w:rPr>
                <w:rFonts w:ascii="Calibri" w:eastAsia="Times New Roman" w:hAnsi="Calibri" w:cs="Calibri"/>
                <w:color w:val="000000"/>
              </w:rPr>
              <w:t>162,930</w:t>
            </w:r>
          </w:p>
        </w:tc>
      </w:tr>
      <w:tr w:rsidR="001D2854" w:rsidRPr="00ED398A" w:rsidTr="00FE452B">
        <w:trPr>
          <w:trHeight w:val="272"/>
        </w:trPr>
        <w:tc>
          <w:tcPr>
            <w:tcW w:w="5257"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p>
        </w:tc>
        <w:tc>
          <w:tcPr>
            <w:tcW w:w="2802" w:type="dxa"/>
            <w:tcBorders>
              <w:top w:val="single" w:sz="4" w:space="0" w:color="auto"/>
              <w:left w:val="nil"/>
              <w:bottom w:val="double" w:sz="6" w:space="0" w:color="auto"/>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 xml:space="preserve"> $            </w:t>
            </w:r>
            <w:r w:rsidR="008656BF">
              <w:rPr>
                <w:rFonts w:ascii="Calibri" w:eastAsia="Times New Roman" w:hAnsi="Calibri" w:cs="Calibri"/>
                <w:color w:val="000000"/>
              </w:rPr>
              <w:t xml:space="preserve">           32</w:t>
            </w:r>
            <w:r w:rsidR="006D4FFF">
              <w:rPr>
                <w:rFonts w:ascii="Calibri" w:eastAsia="Times New Roman" w:hAnsi="Calibri" w:cs="Calibri"/>
                <w:color w:val="000000"/>
              </w:rPr>
              <w:t>3,361,230</w:t>
            </w:r>
          </w:p>
        </w:tc>
      </w:tr>
      <w:tr w:rsidR="001D2854" w:rsidRPr="00ED398A" w:rsidTr="00FE452B">
        <w:trPr>
          <w:trHeight w:val="272"/>
        </w:trPr>
        <w:tc>
          <w:tcPr>
            <w:tcW w:w="5257"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p>
        </w:tc>
        <w:tc>
          <w:tcPr>
            <w:tcW w:w="2802" w:type="dxa"/>
            <w:tcBorders>
              <w:top w:val="nil"/>
              <w:left w:val="nil"/>
              <w:bottom w:val="nil"/>
              <w:right w:val="nil"/>
            </w:tcBorders>
            <w:shd w:val="clear" w:color="auto" w:fill="auto"/>
            <w:noWrap/>
            <w:vAlign w:val="bottom"/>
            <w:hideMark/>
          </w:tcPr>
          <w:p w:rsidR="001D2854" w:rsidRPr="00ED398A" w:rsidRDefault="001D2854" w:rsidP="00FE452B">
            <w:pPr>
              <w:spacing w:after="0" w:line="240" w:lineRule="auto"/>
              <w:rPr>
                <w:rFonts w:ascii="Calibri" w:eastAsia="Times New Roman" w:hAnsi="Calibri" w:cs="Calibri"/>
                <w:color w:val="000000"/>
              </w:rPr>
            </w:pPr>
          </w:p>
        </w:tc>
      </w:tr>
    </w:tbl>
    <w:p w:rsidR="00224B5A" w:rsidRDefault="00224B5A" w:rsidP="00FE452B">
      <w:pPr>
        <w:spacing w:after="0" w:line="240" w:lineRule="auto"/>
      </w:pPr>
    </w:p>
    <w:p w:rsidR="001D2854" w:rsidRDefault="0095582C" w:rsidP="00FE452B">
      <w:pPr>
        <w:spacing w:after="0" w:line="240" w:lineRule="auto"/>
        <w:jc w:val="both"/>
        <w:rPr>
          <w:sz w:val="24"/>
          <w:szCs w:val="24"/>
        </w:rPr>
      </w:pPr>
      <w:r>
        <w:rPr>
          <w:sz w:val="24"/>
          <w:szCs w:val="24"/>
        </w:rPr>
        <w:t>Fideicomiso Plan de Pensiones, el Instituto constituyó, a favor de los trabajadores el propio Instituto, así como de los Ayuntamientos y Organismos afiliados, un fideicomiso de inversión y administración, con la finalidad de administrar los recursos destinados para sufragar las erogaciones derivadas del plan de pensiones establecido por el Instituto, de conformidad con la Ley del ISSSTESON.</w:t>
      </w:r>
    </w:p>
    <w:p w:rsidR="001D2854" w:rsidRDefault="0095582C" w:rsidP="00FE452B">
      <w:pPr>
        <w:spacing w:after="0" w:line="240" w:lineRule="auto"/>
        <w:jc w:val="both"/>
        <w:rPr>
          <w:sz w:val="24"/>
          <w:szCs w:val="24"/>
        </w:rPr>
      </w:pPr>
      <w:r>
        <w:rPr>
          <w:sz w:val="24"/>
          <w:szCs w:val="24"/>
        </w:rPr>
        <w:t>Fideicomiso FOVISSSTESON, el Instituto celebró un contrato de fideicomiso irrevocable de inversión y administración, el cual tiene por objeto cubrir el pago de los adeudos al instituto por créditos hipotecarios de aquellos derecho-habientes que fallezcan o sufran incapacidad total y permanente. El fideicomiso fue creado en el mes de Enero de 1997, con una aportación inicial de $ 60,000.</w:t>
      </w:r>
    </w:p>
    <w:p w:rsidR="008E6FFE" w:rsidRDefault="008E6FFE" w:rsidP="00FE452B">
      <w:pPr>
        <w:spacing w:after="0" w:line="240" w:lineRule="auto"/>
        <w:jc w:val="both"/>
        <w:rPr>
          <w:b/>
          <w:sz w:val="24"/>
          <w:szCs w:val="24"/>
        </w:rPr>
      </w:pPr>
    </w:p>
    <w:p w:rsidR="00ED398A" w:rsidRDefault="007808E5" w:rsidP="00FE452B">
      <w:pPr>
        <w:spacing w:after="0" w:line="240" w:lineRule="auto"/>
        <w:rPr>
          <w:b/>
        </w:rPr>
      </w:pPr>
      <w:r>
        <w:rPr>
          <w:b/>
          <w:sz w:val="24"/>
          <w:szCs w:val="24"/>
        </w:rPr>
        <w:t xml:space="preserve">5) </w:t>
      </w:r>
      <w:r w:rsidR="008E6FFE" w:rsidRPr="009F1DB4">
        <w:rPr>
          <w:b/>
          <w:sz w:val="24"/>
          <w:szCs w:val="24"/>
        </w:rPr>
        <w:t>BIENES MUEBLES, INMUEBLES Y ACTIVOS INTANGIBLES</w:t>
      </w:r>
    </w:p>
    <w:p w:rsidR="00224B5A" w:rsidRDefault="0088709D" w:rsidP="00FE452B">
      <w:pPr>
        <w:spacing w:after="0" w:line="240" w:lineRule="auto"/>
      </w:pPr>
      <w:r>
        <w:t>Al  30 de Junio</w:t>
      </w:r>
      <w:r w:rsidR="00ED398A" w:rsidRPr="00ED398A">
        <w:t xml:space="preserve"> de 2016, este rubro se integra como sigue:</w:t>
      </w:r>
    </w:p>
    <w:tbl>
      <w:tblPr>
        <w:tblW w:w="8781" w:type="dxa"/>
        <w:tblInd w:w="54" w:type="dxa"/>
        <w:tblCellMar>
          <w:left w:w="70" w:type="dxa"/>
          <w:right w:w="70" w:type="dxa"/>
        </w:tblCellMar>
        <w:tblLook w:val="04A0" w:firstRow="1" w:lastRow="0" w:firstColumn="1" w:lastColumn="0" w:noHBand="0" w:noVBand="1"/>
      </w:tblPr>
      <w:tblGrid>
        <w:gridCol w:w="5727"/>
        <w:gridCol w:w="3054"/>
      </w:tblGrid>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p>
        </w:tc>
        <w:tc>
          <w:tcPr>
            <w:tcW w:w="3054"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jc w:val="center"/>
              <w:rPr>
                <w:rFonts w:ascii="Calibri" w:eastAsia="Times New Roman" w:hAnsi="Calibri" w:cs="Calibri"/>
                <w:b/>
                <w:bCs/>
                <w:color w:val="000000"/>
              </w:rPr>
            </w:pP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p>
        </w:tc>
        <w:tc>
          <w:tcPr>
            <w:tcW w:w="3054"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jc w:val="center"/>
              <w:rPr>
                <w:rFonts w:ascii="Calibri" w:eastAsia="Times New Roman" w:hAnsi="Calibri" w:cs="Calibri"/>
                <w:b/>
                <w:bCs/>
                <w:color w:val="000000"/>
              </w:rPr>
            </w:pP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Bienes inmuebles:</w:t>
            </w:r>
          </w:p>
        </w:tc>
        <w:tc>
          <w:tcPr>
            <w:tcW w:w="3054"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Terrenos</w:t>
            </w:r>
          </w:p>
        </w:tc>
        <w:tc>
          <w:tcPr>
            <w:tcW w:w="3054" w:type="dxa"/>
            <w:tcBorders>
              <w:top w:val="nil"/>
              <w:left w:val="nil"/>
              <w:bottom w:val="nil"/>
              <w:right w:val="nil"/>
            </w:tcBorders>
            <w:shd w:val="clear" w:color="auto" w:fill="auto"/>
            <w:noWrap/>
            <w:vAlign w:val="bottom"/>
            <w:hideMark/>
          </w:tcPr>
          <w:p w:rsidR="00ED398A" w:rsidRPr="00ED398A" w:rsidRDefault="00ED398A" w:rsidP="004D4E33">
            <w:pPr>
              <w:spacing w:after="0" w:line="240" w:lineRule="auto"/>
              <w:rPr>
                <w:rFonts w:ascii="Calibri" w:eastAsia="Times New Roman" w:hAnsi="Calibri" w:cs="Calibri"/>
                <w:color w:val="000000"/>
              </w:rPr>
            </w:pPr>
            <w:r w:rsidRPr="00ED398A">
              <w:rPr>
                <w:rFonts w:ascii="Calibri" w:eastAsia="Times New Roman" w:hAnsi="Calibri" w:cs="Calibri"/>
                <w:color w:val="000000"/>
              </w:rPr>
              <w:t xml:space="preserve"> $            </w:t>
            </w:r>
            <w:r w:rsidR="00B37240">
              <w:rPr>
                <w:rFonts w:ascii="Calibri" w:eastAsia="Times New Roman" w:hAnsi="Calibri" w:cs="Calibri"/>
                <w:color w:val="000000"/>
              </w:rPr>
              <w:t xml:space="preserve">           </w:t>
            </w:r>
            <w:r w:rsidRPr="00ED398A">
              <w:rPr>
                <w:rFonts w:ascii="Calibri" w:eastAsia="Times New Roman" w:hAnsi="Calibri" w:cs="Calibri"/>
                <w:color w:val="000000"/>
              </w:rPr>
              <w:t xml:space="preserve">  </w:t>
            </w:r>
            <w:r w:rsidR="004D4E33">
              <w:rPr>
                <w:rFonts w:ascii="Calibri" w:eastAsia="Times New Roman" w:hAnsi="Calibri" w:cs="Calibri"/>
                <w:color w:val="000000"/>
              </w:rPr>
              <w:t xml:space="preserve"> </w:t>
            </w:r>
            <w:r w:rsidRPr="00ED398A">
              <w:rPr>
                <w:rFonts w:ascii="Calibri" w:eastAsia="Times New Roman" w:hAnsi="Calibri" w:cs="Calibri"/>
                <w:color w:val="000000"/>
              </w:rPr>
              <w:t xml:space="preserve">37,502,148 </w:t>
            </w: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Edificios</w:t>
            </w:r>
          </w:p>
        </w:tc>
        <w:tc>
          <w:tcPr>
            <w:tcW w:w="3054" w:type="dxa"/>
            <w:tcBorders>
              <w:top w:val="nil"/>
              <w:left w:val="nil"/>
              <w:bottom w:val="nil"/>
              <w:right w:val="nil"/>
            </w:tcBorders>
            <w:shd w:val="clear" w:color="auto" w:fill="auto"/>
            <w:noWrap/>
            <w:vAlign w:val="bottom"/>
            <w:hideMark/>
          </w:tcPr>
          <w:p w:rsidR="00ED398A" w:rsidRPr="00ED398A" w:rsidRDefault="00FE452B"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D398A" w:rsidRPr="00ED398A">
              <w:rPr>
                <w:rFonts w:ascii="Calibri" w:eastAsia="Times New Roman" w:hAnsi="Calibri" w:cs="Calibri"/>
                <w:color w:val="000000"/>
              </w:rPr>
              <w:t>144,499,123</w:t>
            </w: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Equipo e instrumental médico</w:t>
            </w:r>
          </w:p>
        </w:tc>
        <w:tc>
          <w:tcPr>
            <w:tcW w:w="3054" w:type="dxa"/>
            <w:tcBorders>
              <w:top w:val="nil"/>
              <w:left w:val="nil"/>
              <w:bottom w:val="nil"/>
              <w:right w:val="nil"/>
            </w:tcBorders>
            <w:shd w:val="clear" w:color="auto" w:fill="auto"/>
            <w:noWrap/>
            <w:vAlign w:val="bottom"/>
            <w:hideMark/>
          </w:tcPr>
          <w:p w:rsidR="00ED398A" w:rsidRPr="00ED398A" w:rsidRDefault="00FE452B"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D398A" w:rsidRPr="00ED398A">
              <w:rPr>
                <w:rFonts w:ascii="Calibri" w:eastAsia="Times New Roman" w:hAnsi="Calibri" w:cs="Calibri"/>
                <w:color w:val="000000"/>
              </w:rPr>
              <w:t>148</w:t>
            </w:r>
            <w:r w:rsidR="004D4E33">
              <w:rPr>
                <w:rFonts w:ascii="Calibri" w:eastAsia="Times New Roman" w:hAnsi="Calibri" w:cs="Calibri"/>
                <w:color w:val="000000"/>
              </w:rPr>
              <w:t>,876,</w:t>
            </w:r>
            <w:r w:rsidR="00191DBE">
              <w:rPr>
                <w:rFonts w:ascii="Calibri" w:eastAsia="Times New Roman" w:hAnsi="Calibri" w:cs="Calibri"/>
                <w:color w:val="000000"/>
              </w:rPr>
              <w:t>639</w:t>
            </w: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Equipo de transporte</w:t>
            </w:r>
          </w:p>
        </w:tc>
        <w:tc>
          <w:tcPr>
            <w:tcW w:w="3054" w:type="dxa"/>
            <w:tcBorders>
              <w:top w:val="nil"/>
              <w:left w:val="nil"/>
              <w:bottom w:val="nil"/>
              <w:right w:val="nil"/>
            </w:tcBorders>
            <w:shd w:val="clear" w:color="auto" w:fill="auto"/>
            <w:noWrap/>
            <w:vAlign w:val="bottom"/>
            <w:hideMark/>
          </w:tcPr>
          <w:p w:rsidR="00ED398A" w:rsidRPr="00ED398A" w:rsidRDefault="00FE452B"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D398A" w:rsidRPr="00ED398A">
              <w:rPr>
                <w:rFonts w:ascii="Calibri" w:eastAsia="Times New Roman" w:hAnsi="Calibri" w:cs="Calibri"/>
                <w:color w:val="000000"/>
              </w:rPr>
              <w:t>2</w:t>
            </w:r>
            <w:r w:rsidR="004D4E33">
              <w:rPr>
                <w:rFonts w:ascii="Calibri" w:eastAsia="Times New Roman" w:hAnsi="Calibri" w:cs="Calibri"/>
                <w:color w:val="000000"/>
              </w:rPr>
              <w:t>7,572,352</w:t>
            </w: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Equipo de oficina y refrigeración</w:t>
            </w:r>
          </w:p>
        </w:tc>
        <w:tc>
          <w:tcPr>
            <w:tcW w:w="3054" w:type="dxa"/>
            <w:tcBorders>
              <w:top w:val="nil"/>
              <w:left w:val="nil"/>
              <w:bottom w:val="nil"/>
              <w:right w:val="nil"/>
            </w:tcBorders>
            <w:shd w:val="clear" w:color="auto" w:fill="auto"/>
            <w:noWrap/>
            <w:vAlign w:val="bottom"/>
            <w:hideMark/>
          </w:tcPr>
          <w:p w:rsidR="00ED398A" w:rsidRPr="00ED398A" w:rsidRDefault="00191DBE"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D398A" w:rsidRPr="00ED398A">
              <w:rPr>
                <w:rFonts w:ascii="Calibri" w:eastAsia="Times New Roman" w:hAnsi="Calibri" w:cs="Calibri"/>
                <w:color w:val="000000"/>
              </w:rPr>
              <w:t>8</w:t>
            </w:r>
            <w:r w:rsidR="004D4E33">
              <w:rPr>
                <w:rFonts w:ascii="Calibri" w:eastAsia="Times New Roman" w:hAnsi="Calibri" w:cs="Calibri"/>
                <w:color w:val="000000"/>
              </w:rPr>
              <w:t>1,0</w:t>
            </w:r>
            <w:r>
              <w:rPr>
                <w:rFonts w:ascii="Calibri" w:eastAsia="Times New Roman" w:hAnsi="Calibri" w:cs="Calibri"/>
                <w:color w:val="000000"/>
              </w:rPr>
              <w:t>17,722</w:t>
            </w: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Obras en proceso Fovisssteson</w:t>
            </w:r>
          </w:p>
        </w:tc>
        <w:tc>
          <w:tcPr>
            <w:tcW w:w="3054" w:type="dxa"/>
            <w:tcBorders>
              <w:top w:val="nil"/>
              <w:left w:val="nil"/>
              <w:bottom w:val="nil"/>
              <w:right w:val="nil"/>
            </w:tcBorders>
            <w:shd w:val="clear" w:color="auto" w:fill="auto"/>
            <w:noWrap/>
            <w:vAlign w:val="bottom"/>
            <w:hideMark/>
          </w:tcPr>
          <w:p w:rsidR="00ED398A" w:rsidRPr="00ED398A" w:rsidRDefault="00FE452B"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D398A" w:rsidRPr="00ED398A">
              <w:rPr>
                <w:rFonts w:ascii="Calibri" w:eastAsia="Times New Roman" w:hAnsi="Calibri" w:cs="Calibri"/>
                <w:color w:val="000000"/>
              </w:rPr>
              <w:t>17</w:t>
            </w:r>
            <w:r w:rsidR="004D4E33">
              <w:rPr>
                <w:rFonts w:ascii="Calibri" w:eastAsia="Times New Roman" w:hAnsi="Calibri" w:cs="Calibri"/>
                <w:color w:val="000000"/>
              </w:rPr>
              <w:t>8,666,821</w:t>
            </w: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Subtotal</w:t>
            </w:r>
          </w:p>
        </w:tc>
        <w:tc>
          <w:tcPr>
            <w:tcW w:w="3054" w:type="dxa"/>
            <w:tcBorders>
              <w:top w:val="single" w:sz="4" w:space="0" w:color="auto"/>
              <w:left w:val="nil"/>
              <w:bottom w:val="nil"/>
              <w:right w:val="nil"/>
            </w:tcBorders>
            <w:shd w:val="clear" w:color="auto" w:fill="auto"/>
            <w:noWrap/>
            <w:vAlign w:val="bottom"/>
            <w:hideMark/>
          </w:tcPr>
          <w:p w:rsidR="00ED398A" w:rsidRPr="00ED398A" w:rsidRDefault="00FE452B"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4D4E33">
              <w:rPr>
                <w:rFonts w:ascii="Calibri" w:eastAsia="Times New Roman" w:hAnsi="Calibri" w:cs="Calibri"/>
                <w:color w:val="000000"/>
              </w:rPr>
              <w:t>618,1</w:t>
            </w:r>
            <w:r w:rsidR="00191DBE">
              <w:rPr>
                <w:rFonts w:ascii="Calibri" w:eastAsia="Times New Roman" w:hAnsi="Calibri" w:cs="Calibri"/>
                <w:color w:val="000000"/>
              </w:rPr>
              <w:t>34,805</w:t>
            </w: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FE452B" w:rsidRDefault="00ED398A" w:rsidP="00FE452B">
            <w:pPr>
              <w:spacing w:after="0" w:line="240" w:lineRule="auto"/>
              <w:rPr>
                <w:rFonts w:ascii="Calibri" w:eastAsia="Times New Roman" w:hAnsi="Calibri" w:cs="Calibri"/>
                <w:b/>
                <w:color w:val="000000"/>
              </w:rPr>
            </w:pPr>
            <w:r w:rsidRPr="00FE452B">
              <w:rPr>
                <w:rFonts w:ascii="Calibri" w:eastAsia="Times New Roman" w:hAnsi="Calibri" w:cs="Calibri"/>
                <w:b/>
                <w:color w:val="000000"/>
              </w:rPr>
              <w:t>Menos:</w:t>
            </w:r>
          </w:p>
        </w:tc>
        <w:tc>
          <w:tcPr>
            <w:tcW w:w="3054"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p>
        </w:tc>
      </w:tr>
      <w:tr w:rsidR="00ED398A" w:rsidRPr="00ED398A" w:rsidTr="00FE452B">
        <w:trPr>
          <w:trHeight w:val="265"/>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Depreciación acumulada</w:t>
            </w:r>
          </w:p>
        </w:tc>
        <w:tc>
          <w:tcPr>
            <w:tcW w:w="3054" w:type="dxa"/>
            <w:tcBorders>
              <w:top w:val="nil"/>
              <w:left w:val="nil"/>
              <w:bottom w:val="nil"/>
              <w:right w:val="nil"/>
            </w:tcBorders>
            <w:shd w:val="clear" w:color="auto" w:fill="auto"/>
            <w:noWrap/>
            <w:vAlign w:val="bottom"/>
            <w:hideMark/>
          </w:tcPr>
          <w:p w:rsidR="00ED398A" w:rsidRPr="00ED398A" w:rsidRDefault="00FE452B"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D398A" w:rsidRPr="00ED398A">
              <w:rPr>
                <w:rFonts w:ascii="Calibri" w:eastAsia="Times New Roman" w:hAnsi="Calibri" w:cs="Calibri"/>
                <w:color w:val="000000"/>
              </w:rPr>
              <w:t>-</w:t>
            </w:r>
            <w:r w:rsidR="00BC09D7">
              <w:rPr>
                <w:rFonts w:ascii="Calibri" w:eastAsia="Times New Roman" w:hAnsi="Calibri" w:cs="Calibri"/>
                <w:color w:val="000000"/>
              </w:rPr>
              <w:t>292,314,913</w:t>
            </w:r>
          </w:p>
        </w:tc>
      </w:tr>
      <w:tr w:rsidR="00ED398A" w:rsidRPr="00ED398A" w:rsidTr="00FE452B">
        <w:trPr>
          <w:trHeight w:val="276"/>
        </w:trPr>
        <w:tc>
          <w:tcPr>
            <w:tcW w:w="5727" w:type="dxa"/>
            <w:tcBorders>
              <w:top w:val="nil"/>
              <w:left w:val="nil"/>
              <w:bottom w:val="nil"/>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p>
        </w:tc>
        <w:tc>
          <w:tcPr>
            <w:tcW w:w="3054" w:type="dxa"/>
            <w:tcBorders>
              <w:top w:val="single" w:sz="4" w:space="0" w:color="auto"/>
              <w:left w:val="nil"/>
              <w:bottom w:val="double" w:sz="6" w:space="0" w:color="auto"/>
              <w:right w:val="nil"/>
            </w:tcBorders>
            <w:shd w:val="clear" w:color="auto" w:fill="auto"/>
            <w:noWrap/>
            <w:vAlign w:val="bottom"/>
            <w:hideMark/>
          </w:tcPr>
          <w:p w:rsidR="00ED398A" w:rsidRPr="00ED398A" w:rsidRDefault="00ED398A" w:rsidP="00FE452B">
            <w:pPr>
              <w:spacing w:after="0" w:line="240" w:lineRule="auto"/>
              <w:rPr>
                <w:rFonts w:ascii="Calibri" w:eastAsia="Times New Roman" w:hAnsi="Calibri" w:cs="Calibri"/>
                <w:color w:val="000000"/>
              </w:rPr>
            </w:pPr>
            <w:r w:rsidRPr="00ED398A">
              <w:rPr>
                <w:rFonts w:ascii="Calibri" w:eastAsia="Times New Roman" w:hAnsi="Calibri" w:cs="Calibri"/>
                <w:color w:val="000000"/>
              </w:rPr>
              <w:t xml:space="preserve"> $          </w:t>
            </w:r>
            <w:r w:rsidR="00B37240">
              <w:rPr>
                <w:rFonts w:ascii="Calibri" w:eastAsia="Times New Roman" w:hAnsi="Calibri" w:cs="Calibri"/>
                <w:color w:val="000000"/>
              </w:rPr>
              <w:t xml:space="preserve">      </w:t>
            </w:r>
            <w:r w:rsidR="00FE452B">
              <w:rPr>
                <w:rFonts w:ascii="Calibri" w:eastAsia="Times New Roman" w:hAnsi="Calibri" w:cs="Calibri"/>
                <w:color w:val="000000"/>
              </w:rPr>
              <w:t xml:space="preserve"> </w:t>
            </w:r>
            <w:r w:rsidR="00B37240">
              <w:rPr>
                <w:rFonts w:ascii="Calibri" w:eastAsia="Times New Roman" w:hAnsi="Calibri" w:cs="Calibri"/>
                <w:color w:val="000000"/>
              </w:rPr>
              <w:t xml:space="preserve">      </w:t>
            </w:r>
            <w:r w:rsidR="00191DBE">
              <w:rPr>
                <w:rFonts w:ascii="Calibri" w:eastAsia="Times New Roman" w:hAnsi="Calibri" w:cs="Calibri"/>
                <w:color w:val="000000"/>
              </w:rPr>
              <w:t xml:space="preserve">  325,819,892</w:t>
            </w:r>
            <w:r w:rsidRPr="00ED398A">
              <w:rPr>
                <w:rFonts w:ascii="Calibri" w:eastAsia="Times New Roman" w:hAnsi="Calibri" w:cs="Calibri"/>
                <w:color w:val="000000"/>
              </w:rPr>
              <w:t xml:space="preserve"> </w:t>
            </w:r>
          </w:p>
        </w:tc>
      </w:tr>
    </w:tbl>
    <w:p w:rsidR="00ED398A" w:rsidRDefault="00ED398A" w:rsidP="00FE452B">
      <w:pPr>
        <w:spacing w:after="0" w:line="240" w:lineRule="auto"/>
      </w:pPr>
    </w:p>
    <w:p w:rsidR="007808E5" w:rsidRPr="007808E5" w:rsidRDefault="007808E5" w:rsidP="00FE452B">
      <w:pPr>
        <w:spacing w:after="0" w:line="240" w:lineRule="auto"/>
        <w:rPr>
          <w:b/>
          <w:sz w:val="28"/>
          <w:szCs w:val="24"/>
        </w:rPr>
      </w:pPr>
      <w:r w:rsidRPr="007808E5">
        <w:rPr>
          <w:b/>
          <w:sz w:val="28"/>
          <w:szCs w:val="24"/>
        </w:rPr>
        <w:t>PASIVO</w:t>
      </w:r>
    </w:p>
    <w:p w:rsidR="0020778F" w:rsidRPr="007808E5" w:rsidRDefault="007808E5" w:rsidP="007808E5">
      <w:pPr>
        <w:spacing w:after="0" w:line="240" w:lineRule="auto"/>
        <w:rPr>
          <w:b/>
          <w:sz w:val="24"/>
          <w:szCs w:val="24"/>
        </w:rPr>
      </w:pPr>
      <w:r>
        <w:rPr>
          <w:b/>
          <w:sz w:val="24"/>
          <w:szCs w:val="24"/>
        </w:rPr>
        <w:t xml:space="preserve">1)  </w:t>
      </w:r>
      <w:r w:rsidR="008E6FFE" w:rsidRPr="007808E5">
        <w:rPr>
          <w:b/>
          <w:sz w:val="24"/>
          <w:szCs w:val="24"/>
        </w:rPr>
        <w:t>OBLIGACIONES LABORALES</w:t>
      </w:r>
    </w:p>
    <w:p w:rsidR="00FE452B" w:rsidRDefault="00FE452B" w:rsidP="00FE452B">
      <w:pPr>
        <w:spacing w:after="0" w:line="240" w:lineRule="auto"/>
        <w:rPr>
          <w:b/>
        </w:rPr>
      </w:pPr>
    </w:p>
    <w:p w:rsidR="005F662B" w:rsidRDefault="0088709D" w:rsidP="00FE452B">
      <w:pPr>
        <w:spacing w:after="0" w:line="240" w:lineRule="auto"/>
        <w:jc w:val="both"/>
      </w:pPr>
      <w:r>
        <w:t>Al  30 de Junio</w:t>
      </w:r>
      <w:r w:rsidR="00224B5A">
        <w:t xml:space="preserve"> de 2016 el I</w:t>
      </w:r>
      <w:r w:rsidR="005F662B">
        <w:t xml:space="preserve">nstituto  tiene provisionado la cantidad de $ 2,918,471,603.86 </w:t>
      </w:r>
      <w:r w:rsidR="0020778F">
        <w:t xml:space="preserve"> del pasivo de las obligaciones por concepto de pensiones y jubilaciones a favor de sus afiliados incluyéndose entre ellos a los propios empleados del instituto, así como otras prestaciones derivadas de la Ley del ISSSTESON</w:t>
      </w:r>
      <w:r w:rsidR="00224B5A">
        <w:t>.</w:t>
      </w:r>
    </w:p>
    <w:p w:rsidR="008E6FFE" w:rsidRDefault="008E6FFE" w:rsidP="00FE452B">
      <w:pPr>
        <w:spacing w:after="0" w:line="240" w:lineRule="auto"/>
      </w:pPr>
    </w:p>
    <w:p w:rsidR="00224B5A" w:rsidRPr="007808E5" w:rsidRDefault="008E6FFE" w:rsidP="007808E5">
      <w:pPr>
        <w:pStyle w:val="Prrafodelista"/>
        <w:numPr>
          <w:ilvl w:val="0"/>
          <w:numId w:val="5"/>
        </w:numPr>
        <w:spacing w:after="0" w:line="240" w:lineRule="auto"/>
        <w:rPr>
          <w:b/>
          <w:sz w:val="24"/>
          <w:szCs w:val="24"/>
        </w:rPr>
      </w:pPr>
      <w:r w:rsidRPr="007808E5">
        <w:rPr>
          <w:b/>
          <w:sz w:val="24"/>
          <w:szCs w:val="24"/>
        </w:rPr>
        <w:t>PROVEEDORES</w:t>
      </w:r>
    </w:p>
    <w:p w:rsidR="00FE452B" w:rsidRDefault="00FE452B" w:rsidP="00FE452B">
      <w:pPr>
        <w:spacing w:after="0" w:line="240" w:lineRule="auto"/>
        <w:rPr>
          <w:b/>
        </w:rPr>
      </w:pPr>
    </w:p>
    <w:p w:rsidR="00F84EA1" w:rsidRDefault="0088709D" w:rsidP="00FE452B">
      <w:pPr>
        <w:spacing w:after="0" w:line="240" w:lineRule="auto"/>
        <w:jc w:val="both"/>
      </w:pPr>
      <w:r>
        <w:t>El saldo de proveedores al 30 de Junio</w:t>
      </w:r>
      <w:r w:rsidR="00F84EA1">
        <w:t xml:space="preserve"> de 2016, clasificados en adeudos p</w:t>
      </w:r>
      <w:r w:rsidR="007808E5">
        <w:t xml:space="preserve">or medicamentos y materiales es por el </w:t>
      </w:r>
      <w:r w:rsidR="00E14476">
        <w:t>importe de: $ 531</w:t>
      </w:r>
      <w:proofErr w:type="gramStart"/>
      <w:r w:rsidR="00E14476">
        <w:t>,790,636</w:t>
      </w:r>
      <w:proofErr w:type="gramEnd"/>
    </w:p>
    <w:p w:rsidR="00F84EA1" w:rsidRDefault="00F84EA1" w:rsidP="00FE452B">
      <w:pPr>
        <w:spacing w:after="0" w:line="240" w:lineRule="auto"/>
      </w:pPr>
    </w:p>
    <w:p w:rsidR="008E6FFE" w:rsidRDefault="008E6FFE" w:rsidP="00FE452B">
      <w:pPr>
        <w:spacing w:after="0" w:line="240" w:lineRule="auto"/>
        <w:rPr>
          <w:rFonts w:cstheme="minorHAnsi"/>
        </w:rPr>
      </w:pPr>
    </w:p>
    <w:p w:rsidR="00F84EA1" w:rsidRPr="007808E5" w:rsidRDefault="008E6FFE" w:rsidP="007808E5">
      <w:pPr>
        <w:pStyle w:val="Prrafodelista"/>
        <w:numPr>
          <w:ilvl w:val="0"/>
          <w:numId w:val="5"/>
        </w:numPr>
        <w:spacing w:after="0" w:line="240" w:lineRule="auto"/>
        <w:rPr>
          <w:b/>
          <w:sz w:val="24"/>
          <w:szCs w:val="24"/>
        </w:rPr>
      </w:pPr>
      <w:r w:rsidRPr="007808E5">
        <w:rPr>
          <w:b/>
          <w:sz w:val="24"/>
          <w:szCs w:val="24"/>
        </w:rPr>
        <w:t>RETENCIONES Y CONTRIBUCIONES POR PAGAR</w:t>
      </w:r>
    </w:p>
    <w:p w:rsidR="00C9220D" w:rsidRDefault="0088709D" w:rsidP="00FE452B">
      <w:pPr>
        <w:spacing w:after="0" w:line="240" w:lineRule="auto"/>
        <w:jc w:val="both"/>
      </w:pPr>
      <w:r>
        <w:t>Al 30 de Junio</w:t>
      </w:r>
      <w:r w:rsidR="00B30054" w:rsidRPr="00B30054">
        <w:t xml:space="preserve"> de 2016, el saldo de la cuenta de Retenciones s y Contribuciones por Pagar se integran como sigue:</w:t>
      </w:r>
    </w:p>
    <w:tbl>
      <w:tblPr>
        <w:tblW w:w="8527" w:type="dxa"/>
        <w:tblInd w:w="54" w:type="dxa"/>
        <w:tblCellMar>
          <w:left w:w="70" w:type="dxa"/>
          <w:right w:w="70" w:type="dxa"/>
        </w:tblCellMar>
        <w:tblLook w:val="04A0" w:firstRow="1" w:lastRow="0" w:firstColumn="1" w:lastColumn="0" w:noHBand="0" w:noVBand="1"/>
      </w:tblPr>
      <w:tblGrid>
        <w:gridCol w:w="5733"/>
        <w:gridCol w:w="2794"/>
      </w:tblGrid>
      <w:tr w:rsidR="00A8366A" w:rsidRPr="00A8366A" w:rsidTr="007808E5">
        <w:trPr>
          <w:trHeight w:val="263"/>
        </w:trPr>
        <w:tc>
          <w:tcPr>
            <w:tcW w:w="5733" w:type="dxa"/>
            <w:tcBorders>
              <w:top w:val="nil"/>
              <w:left w:val="nil"/>
              <w:bottom w:val="nil"/>
              <w:right w:val="nil"/>
            </w:tcBorders>
            <w:shd w:val="clear" w:color="auto" w:fill="auto"/>
            <w:noWrap/>
            <w:vAlign w:val="bottom"/>
            <w:hideMark/>
          </w:tcPr>
          <w:p w:rsidR="00A8366A" w:rsidRPr="00A8366A" w:rsidRDefault="00A8366A" w:rsidP="00FE452B">
            <w:pPr>
              <w:spacing w:after="0" w:line="240" w:lineRule="auto"/>
              <w:rPr>
                <w:rFonts w:ascii="Calibri" w:eastAsia="Times New Roman" w:hAnsi="Calibri" w:cs="Calibri"/>
                <w:color w:val="000000"/>
              </w:rPr>
            </w:pPr>
          </w:p>
        </w:tc>
        <w:tc>
          <w:tcPr>
            <w:tcW w:w="2794" w:type="dxa"/>
            <w:tcBorders>
              <w:top w:val="nil"/>
              <w:left w:val="nil"/>
              <w:bottom w:val="nil"/>
              <w:right w:val="nil"/>
            </w:tcBorders>
            <w:shd w:val="clear" w:color="auto" w:fill="auto"/>
            <w:noWrap/>
            <w:vAlign w:val="bottom"/>
            <w:hideMark/>
          </w:tcPr>
          <w:p w:rsidR="00A8366A" w:rsidRPr="00A8366A" w:rsidRDefault="00A8366A" w:rsidP="007808E5">
            <w:pPr>
              <w:spacing w:after="0" w:line="240" w:lineRule="auto"/>
              <w:rPr>
                <w:rFonts w:ascii="Calibri" w:eastAsia="Times New Roman" w:hAnsi="Calibri" w:cs="Calibri"/>
                <w:b/>
                <w:bCs/>
                <w:color w:val="000000"/>
              </w:rPr>
            </w:pPr>
          </w:p>
        </w:tc>
      </w:tr>
      <w:tr w:rsidR="00A8366A" w:rsidRPr="00A8366A" w:rsidTr="007808E5">
        <w:trPr>
          <w:trHeight w:val="263"/>
        </w:trPr>
        <w:tc>
          <w:tcPr>
            <w:tcW w:w="5733" w:type="dxa"/>
            <w:tcBorders>
              <w:top w:val="nil"/>
              <w:left w:val="nil"/>
              <w:bottom w:val="nil"/>
              <w:right w:val="nil"/>
            </w:tcBorders>
            <w:shd w:val="clear" w:color="auto" w:fill="auto"/>
            <w:noWrap/>
            <w:vAlign w:val="bottom"/>
            <w:hideMark/>
          </w:tcPr>
          <w:p w:rsidR="00A8366A" w:rsidRPr="00A8366A" w:rsidRDefault="00A8366A" w:rsidP="00FE452B">
            <w:pPr>
              <w:spacing w:after="0" w:line="240" w:lineRule="auto"/>
              <w:rPr>
                <w:rFonts w:ascii="Calibri" w:eastAsia="Times New Roman" w:hAnsi="Calibri" w:cs="Calibri"/>
                <w:color w:val="000000"/>
              </w:rPr>
            </w:pPr>
          </w:p>
        </w:tc>
        <w:tc>
          <w:tcPr>
            <w:tcW w:w="2794" w:type="dxa"/>
            <w:tcBorders>
              <w:top w:val="nil"/>
              <w:left w:val="nil"/>
              <w:bottom w:val="nil"/>
              <w:right w:val="nil"/>
            </w:tcBorders>
            <w:shd w:val="clear" w:color="auto" w:fill="auto"/>
            <w:noWrap/>
            <w:vAlign w:val="bottom"/>
            <w:hideMark/>
          </w:tcPr>
          <w:p w:rsidR="00A8366A" w:rsidRPr="00A8366A" w:rsidRDefault="00A8366A" w:rsidP="00FE452B">
            <w:pPr>
              <w:spacing w:after="0" w:line="240" w:lineRule="auto"/>
              <w:rPr>
                <w:rFonts w:ascii="Calibri" w:eastAsia="Times New Roman" w:hAnsi="Calibri" w:cs="Calibri"/>
                <w:color w:val="000000"/>
              </w:rPr>
            </w:pPr>
          </w:p>
        </w:tc>
      </w:tr>
      <w:tr w:rsidR="00A8366A" w:rsidRPr="00A8366A" w:rsidTr="007808E5">
        <w:trPr>
          <w:trHeight w:val="263"/>
        </w:trPr>
        <w:tc>
          <w:tcPr>
            <w:tcW w:w="5733" w:type="dxa"/>
            <w:tcBorders>
              <w:top w:val="nil"/>
              <w:left w:val="nil"/>
              <w:bottom w:val="nil"/>
              <w:right w:val="nil"/>
            </w:tcBorders>
            <w:shd w:val="clear" w:color="auto" w:fill="auto"/>
            <w:noWrap/>
            <w:vAlign w:val="bottom"/>
            <w:hideMark/>
          </w:tcPr>
          <w:p w:rsidR="00A8366A" w:rsidRPr="00A8366A" w:rsidRDefault="00A8366A" w:rsidP="00FE452B">
            <w:pPr>
              <w:spacing w:after="0" w:line="240" w:lineRule="auto"/>
              <w:rPr>
                <w:rFonts w:ascii="Calibri" w:eastAsia="Times New Roman" w:hAnsi="Calibri" w:cs="Calibri"/>
                <w:color w:val="000000"/>
              </w:rPr>
            </w:pPr>
            <w:r w:rsidRPr="00A8366A">
              <w:rPr>
                <w:rFonts w:ascii="Calibri" w:eastAsia="Times New Roman" w:hAnsi="Calibri" w:cs="Calibri"/>
                <w:color w:val="000000"/>
              </w:rPr>
              <w:t>Contribuciones Ret. Por pagar a corto plazo</w:t>
            </w:r>
          </w:p>
        </w:tc>
        <w:tc>
          <w:tcPr>
            <w:tcW w:w="2794" w:type="dxa"/>
            <w:tcBorders>
              <w:top w:val="nil"/>
              <w:left w:val="nil"/>
              <w:bottom w:val="nil"/>
              <w:right w:val="nil"/>
            </w:tcBorders>
            <w:shd w:val="clear" w:color="auto" w:fill="auto"/>
            <w:noWrap/>
            <w:vAlign w:val="bottom"/>
            <w:hideMark/>
          </w:tcPr>
          <w:p w:rsidR="00A8366A" w:rsidRPr="00A8366A" w:rsidRDefault="00A8366A" w:rsidP="00FE452B">
            <w:pPr>
              <w:spacing w:after="0" w:line="240" w:lineRule="auto"/>
              <w:rPr>
                <w:rFonts w:ascii="Calibri" w:eastAsia="Times New Roman" w:hAnsi="Calibri" w:cs="Calibri"/>
                <w:color w:val="000000"/>
              </w:rPr>
            </w:pPr>
            <w:r w:rsidRPr="00A8366A">
              <w:rPr>
                <w:rFonts w:ascii="Calibri" w:eastAsia="Times New Roman" w:hAnsi="Calibri" w:cs="Calibri"/>
                <w:color w:val="000000"/>
              </w:rPr>
              <w:t xml:space="preserve"> $              </w:t>
            </w:r>
            <w:r w:rsidR="00EE1510">
              <w:rPr>
                <w:rFonts w:ascii="Calibri" w:eastAsia="Times New Roman" w:hAnsi="Calibri" w:cs="Calibri"/>
                <w:color w:val="000000"/>
              </w:rPr>
              <w:t xml:space="preserve">          </w:t>
            </w:r>
            <w:r w:rsidRPr="00A8366A">
              <w:rPr>
                <w:rFonts w:ascii="Calibri" w:eastAsia="Times New Roman" w:hAnsi="Calibri" w:cs="Calibri"/>
                <w:color w:val="000000"/>
              </w:rPr>
              <w:t xml:space="preserve">  </w:t>
            </w:r>
            <w:r w:rsidR="00BC09D7">
              <w:rPr>
                <w:rFonts w:ascii="Calibri" w:eastAsia="Times New Roman" w:hAnsi="Calibri" w:cs="Calibri"/>
                <w:color w:val="000000"/>
              </w:rPr>
              <w:t>4,51</w:t>
            </w:r>
            <w:r w:rsidR="00CF0BE7">
              <w:rPr>
                <w:rFonts w:ascii="Calibri" w:eastAsia="Times New Roman" w:hAnsi="Calibri" w:cs="Calibri"/>
                <w:color w:val="000000"/>
              </w:rPr>
              <w:t>8,394</w:t>
            </w:r>
          </w:p>
        </w:tc>
      </w:tr>
      <w:tr w:rsidR="00A8366A" w:rsidRPr="00A8366A" w:rsidTr="007808E5">
        <w:trPr>
          <w:trHeight w:val="263"/>
        </w:trPr>
        <w:tc>
          <w:tcPr>
            <w:tcW w:w="5733" w:type="dxa"/>
            <w:tcBorders>
              <w:top w:val="nil"/>
              <w:left w:val="nil"/>
              <w:bottom w:val="nil"/>
              <w:right w:val="nil"/>
            </w:tcBorders>
            <w:shd w:val="clear" w:color="auto" w:fill="auto"/>
            <w:noWrap/>
            <w:vAlign w:val="bottom"/>
            <w:hideMark/>
          </w:tcPr>
          <w:p w:rsidR="00A8366A" w:rsidRPr="00A8366A" w:rsidRDefault="00A8366A" w:rsidP="00FE452B">
            <w:pPr>
              <w:spacing w:after="0" w:line="240" w:lineRule="auto"/>
              <w:rPr>
                <w:rFonts w:ascii="Calibri" w:eastAsia="Times New Roman" w:hAnsi="Calibri" w:cs="Calibri"/>
                <w:color w:val="000000"/>
              </w:rPr>
            </w:pPr>
            <w:r w:rsidRPr="00A8366A">
              <w:rPr>
                <w:rFonts w:ascii="Calibri" w:eastAsia="Times New Roman" w:hAnsi="Calibri" w:cs="Calibri"/>
                <w:color w:val="000000"/>
              </w:rPr>
              <w:t>Retenciones por pagar a corto plazo</w:t>
            </w:r>
          </w:p>
        </w:tc>
        <w:tc>
          <w:tcPr>
            <w:tcW w:w="2794" w:type="dxa"/>
            <w:tcBorders>
              <w:top w:val="nil"/>
              <w:left w:val="nil"/>
              <w:bottom w:val="nil"/>
              <w:right w:val="nil"/>
            </w:tcBorders>
            <w:shd w:val="clear" w:color="auto" w:fill="auto"/>
            <w:noWrap/>
            <w:vAlign w:val="bottom"/>
            <w:hideMark/>
          </w:tcPr>
          <w:p w:rsidR="00A8366A" w:rsidRPr="00A8366A" w:rsidRDefault="00BC09D7" w:rsidP="00FE452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EE1510">
              <w:rPr>
                <w:rFonts w:ascii="Calibri" w:eastAsia="Times New Roman" w:hAnsi="Calibri" w:cs="Calibri"/>
                <w:color w:val="000000"/>
              </w:rPr>
              <w:t xml:space="preserve">        </w:t>
            </w:r>
            <w:r>
              <w:rPr>
                <w:rFonts w:ascii="Calibri" w:eastAsia="Times New Roman" w:hAnsi="Calibri" w:cs="Calibri"/>
                <w:color w:val="000000"/>
              </w:rPr>
              <w:t xml:space="preserve">  </w:t>
            </w:r>
            <w:r w:rsidR="00EE1510">
              <w:rPr>
                <w:rFonts w:ascii="Calibri" w:eastAsia="Times New Roman" w:hAnsi="Calibri" w:cs="Calibri"/>
                <w:color w:val="000000"/>
              </w:rPr>
              <w:t xml:space="preserve">  </w:t>
            </w:r>
            <w:r w:rsidR="00CF0BE7">
              <w:rPr>
                <w:rFonts w:ascii="Calibri" w:eastAsia="Times New Roman" w:hAnsi="Calibri" w:cs="Calibri"/>
                <w:color w:val="000000"/>
              </w:rPr>
              <w:t>391,638,479</w:t>
            </w:r>
            <w:r w:rsidR="00A8366A" w:rsidRPr="00A8366A">
              <w:rPr>
                <w:rFonts w:ascii="Calibri" w:eastAsia="Times New Roman" w:hAnsi="Calibri" w:cs="Calibri"/>
                <w:color w:val="000000"/>
              </w:rPr>
              <w:t xml:space="preserve"> </w:t>
            </w:r>
          </w:p>
        </w:tc>
      </w:tr>
      <w:tr w:rsidR="00A8366A" w:rsidRPr="00A8366A" w:rsidTr="007808E5">
        <w:trPr>
          <w:trHeight w:val="274"/>
        </w:trPr>
        <w:tc>
          <w:tcPr>
            <w:tcW w:w="5733" w:type="dxa"/>
            <w:tcBorders>
              <w:top w:val="nil"/>
              <w:left w:val="nil"/>
              <w:bottom w:val="nil"/>
              <w:right w:val="nil"/>
            </w:tcBorders>
            <w:shd w:val="clear" w:color="auto" w:fill="auto"/>
            <w:noWrap/>
            <w:vAlign w:val="bottom"/>
            <w:hideMark/>
          </w:tcPr>
          <w:p w:rsidR="00A8366A" w:rsidRPr="00A8366A" w:rsidRDefault="00A8366A" w:rsidP="00FE452B">
            <w:pPr>
              <w:spacing w:after="0" w:line="240" w:lineRule="auto"/>
              <w:rPr>
                <w:rFonts w:ascii="Calibri" w:eastAsia="Times New Roman" w:hAnsi="Calibri" w:cs="Calibri"/>
                <w:color w:val="000000"/>
              </w:rPr>
            </w:pPr>
          </w:p>
        </w:tc>
        <w:tc>
          <w:tcPr>
            <w:tcW w:w="2794" w:type="dxa"/>
            <w:tcBorders>
              <w:top w:val="single" w:sz="4" w:space="0" w:color="auto"/>
              <w:left w:val="nil"/>
              <w:bottom w:val="double" w:sz="6" w:space="0" w:color="auto"/>
              <w:right w:val="nil"/>
            </w:tcBorders>
            <w:shd w:val="clear" w:color="auto" w:fill="auto"/>
            <w:noWrap/>
            <w:vAlign w:val="bottom"/>
            <w:hideMark/>
          </w:tcPr>
          <w:p w:rsidR="00A8366A" w:rsidRPr="00A8366A" w:rsidRDefault="00BC09D7" w:rsidP="00FE452B">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EE1510">
              <w:rPr>
                <w:rFonts w:ascii="Calibri" w:eastAsia="Times New Roman" w:hAnsi="Calibri" w:cs="Calibri"/>
                <w:color w:val="000000"/>
              </w:rPr>
              <w:t xml:space="preserve">          </w:t>
            </w:r>
            <w:r w:rsidR="00CF0BE7">
              <w:rPr>
                <w:rFonts w:ascii="Calibri" w:eastAsia="Times New Roman" w:hAnsi="Calibri" w:cs="Calibri"/>
                <w:color w:val="000000"/>
              </w:rPr>
              <w:t>396,156,873</w:t>
            </w:r>
            <w:r w:rsidR="00A8366A" w:rsidRPr="00A8366A">
              <w:rPr>
                <w:rFonts w:ascii="Calibri" w:eastAsia="Times New Roman" w:hAnsi="Calibri" w:cs="Calibri"/>
                <w:color w:val="000000"/>
              </w:rPr>
              <w:t xml:space="preserve"> </w:t>
            </w:r>
          </w:p>
        </w:tc>
      </w:tr>
    </w:tbl>
    <w:p w:rsidR="00A8366A" w:rsidRDefault="00A8366A" w:rsidP="00FE452B">
      <w:pPr>
        <w:spacing w:after="0" w:line="240" w:lineRule="auto"/>
      </w:pPr>
    </w:p>
    <w:p w:rsidR="003A0DB2" w:rsidRDefault="00855DD7" w:rsidP="00FE452B">
      <w:pPr>
        <w:spacing w:after="0" w:line="240" w:lineRule="auto"/>
        <w:jc w:val="both"/>
      </w:pPr>
      <w:r>
        <w:t>Los principales saldos de Contribuciones de retenciones por pagar a corto plazo se integran de la siguiente manera:</w:t>
      </w:r>
    </w:p>
    <w:tbl>
      <w:tblPr>
        <w:tblW w:w="8599" w:type="dxa"/>
        <w:tblInd w:w="54" w:type="dxa"/>
        <w:tblCellMar>
          <w:left w:w="70" w:type="dxa"/>
          <w:right w:w="70" w:type="dxa"/>
        </w:tblCellMar>
        <w:tblLook w:val="04A0" w:firstRow="1" w:lastRow="0" w:firstColumn="1" w:lastColumn="0" w:noHBand="0" w:noVBand="1"/>
      </w:tblPr>
      <w:tblGrid>
        <w:gridCol w:w="5807"/>
        <w:gridCol w:w="2792"/>
      </w:tblGrid>
      <w:tr w:rsidR="001F2172" w:rsidRPr="001F2172" w:rsidTr="007808E5">
        <w:trPr>
          <w:trHeight w:val="263"/>
        </w:trPr>
        <w:tc>
          <w:tcPr>
            <w:tcW w:w="5807"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p>
        </w:tc>
        <w:tc>
          <w:tcPr>
            <w:tcW w:w="2792"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jc w:val="center"/>
              <w:rPr>
                <w:rFonts w:ascii="Calibri" w:eastAsia="Times New Roman" w:hAnsi="Calibri" w:cs="Calibri"/>
                <w:b/>
                <w:bCs/>
                <w:color w:val="000000"/>
              </w:rPr>
            </w:pPr>
          </w:p>
        </w:tc>
      </w:tr>
      <w:tr w:rsidR="001F2172" w:rsidRPr="001F2172" w:rsidTr="007808E5">
        <w:trPr>
          <w:trHeight w:val="263"/>
        </w:trPr>
        <w:tc>
          <w:tcPr>
            <w:tcW w:w="5807"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p>
        </w:tc>
        <w:tc>
          <w:tcPr>
            <w:tcW w:w="2792"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p>
        </w:tc>
      </w:tr>
      <w:tr w:rsidR="001F2172" w:rsidRPr="001F2172" w:rsidTr="007808E5">
        <w:trPr>
          <w:trHeight w:val="263"/>
        </w:trPr>
        <w:tc>
          <w:tcPr>
            <w:tcW w:w="5807"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r w:rsidRPr="001F2172">
              <w:rPr>
                <w:rFonts w:ascii="Calibri" w:eastAsia="Times New Roman" w:hAnsi="Calibri" w:cs="Calibri"/>
                <w:color w:val="000000"/>
              </w:rPr>
              <w:t>I.S.P.T. Retenciones por salarios</w:t>
            </w:r>
          </w:p>
        </w:tc>
        <w:tc>
          <w:tcPr>
            <w:tcW w:w="2792"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r w:rsidRPr="001F2172">
              <w:rPr>
                <w:rFonts w:ascii="Calibri" w:eastAsia="Times New Roman" w:hAnsi="Calibri" w:cs="Calibri"/>
                <w:color w:val="000000"/>
              </w:rPr>
              <w:t xml:space="preserve"> $            </w:t>
            </w:r>
            <w:r>
              <w:rPr>
                <w:rFonts w:ascii="Calibri" w:eastAsia="Times New Roman" w:hAnsi="Calibri" w:cs="Calibri"/>
                <w:color w:val="000000"/>
              </w:rPr>
              <w:t xml:space="preserve">           </w:t>
            </w:r>
            <w:r w:rsidRPr="001F2172">
              <w:rPr>
                <w:rFonts w:ascii="Calibri" w:eastAsia="Times New Roman" w:hAnsi="Calibri" w:cs="Calibri"/>
                <w:color w:val="000000"/>
              </w:rPr>
              <w:t xml:space="preserve">     </w:t>
            </w:r>
            <w:r w:rsidR="00BC09D7">
              <w:rPr>
                <w:rFonts w:ascii="Calibri" w:eastAsia="Times New Roman" w:hAnsi="Calibri" w:cs="Calibri"/>
                <w:color w:val="000000"/>
              </w:rPr>
              <w:t>2,524,065</w:t>
            </w:r>
          </w:p>
        </w:tc>
      </w:tr>
      <w:tr w:rsidR="001F2172" w:rsidRPr="001F2172" w:rsidTr="007808E5">
        <w:trPr>
          <w:trHeight w:val="263"/>
        </w:trPr>
        <w:tc>
          <w:tcPr>
            <w:tcW w:w="5807"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r w:rsidRPr="001F2172">
              <w:rPr>
                <w:rFonts w:ascii="Calibri" w:eastAsia="Times New Roman" w:hAnsi="Calibri" w:cs="Calibri"/>
                <w:color w:val="000000"/>
              </w:rPr>
              <w:t>I.S.R. Retenciones por Servicios Profesionales</w:t>
            </w:r>
          </w:p>
        </w:tc>
        <w:tc>
          <w:tcPr>
            <w:tcW w:w="2792" w:type="dxa"/>
            <w:tcBorders>
              <w:top w:val="nil"/>
              <w:left w:val="nil"/>
              <w:bottom w:val="nil"/>
              <w:right w:val="nil"/>
            </w:tcBorders>
            <w:shd w:val="clear" w:color="auto" w:fill="auto"/>
            <w:noWrap/>
            <w:vAlign w:val="bottom"/>
            <w:hideMark/>
          </w:tcPr>
          <w:p w:rsidR="001F2172" w:rsidRPr="001F2172" w:rsidRDefault="00BC09D7"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1,15</w:t>
            </w:r>
            <w:r w:rsidR="00CF0BE7">
              <w:rPr>
                <w:rFonts w:ascii="Calibri" w:eastAsia="Times New Roman" w:hAnsi="Calibri" w:cs="Calibri"/>
                <w:color w:val="000000"/>
              </w:rPr>
              <w:t>7,684</w:t>
            </w:r>
          </w:p>
        </w:tc>
      </w:tr>
      <w:tr w:rsidR="001F2172" w:rsidRPr="001F2172" w:rsidTr="007808E5">
        <w:trPr>
          <w:trHeight w:val="263"/>
        </w:trPr>
        <w:tc>
          <w:tcPr>
            <w:tcW w:w="5807"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r w:rsidRPr="001F2172">
              <w:rPr>
                <w:rFonts w:ascii="Calibri" w:eastAsia="Times New Roman" w:hAnsi="Calibri" w:cs="Calibri"/>
                <w:color w:val="000000"/>
              </w:rPr>
              <w:t>Retenciones 2 al Millar Inspección y Vigilancia</w:t>
            </w:r>
          </w:p>
        </w:tc>
        <w:tc>
          <w:tcPr>
            <w:tcW w:w="2792" w:type="dxa"/>
            <w:tcBorders>
              <w:top w:val="nil"/>
              <w:left w:val="nil"/>
              <w:bottom w:val="nil"/>
              <w:right w:val="nil"/>
            </w:tcBorders>
            <w:shd w:val="clear" w:color="auto" w:fill="auto"/>
            <w:noWrap/>
            <w:vAlign w:val="bottom"/>
            <w:hideMark/>
          </w:tcPr>
          <w:p w:rsidR="001F2172" w:rsidRPr="001F2172" w:rsidRDefault="008E6FFE" w:rsidP="00BC09D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BC09D7">
              <w:rPr>
                <w:rFonts w:ascii="Calibri" w:eastAsia="Times New Roman" w:hAnsi="Calibri" w:cs="Calibri"/>
                <w:color w:val="000000"/>
              </w:rPr>
              <w:t>503,159</w:t>
            </w:r>
          </w:p>
        </w:tc>
      </w:tr>
      <w:tr w:rsidR="001F2172" w:rsidRPr="001F2172" w:rsidTr="007808E5">
        <w:trPr>
          <w:trHeight w:val="263"/>
        </w:trPr>
        <w:tc>
          <w:tcPr>
            <w:tcW w:w="5807"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r w:rsidRPr="001F2172">
              <w:rPr>
                <w:rFonts w:ascii="Calibri" w:eastAsia="Times New Roman" w:hAnsi="Calibri" w:cs="Calibri"/>
                <w:color w:val="000000"/>
              </w:rPr>
              <w:t>Otras retenciones por pagar a corto plazo</w:t>
            </w:r>
          </w:p>
        </w:tc>
        <w:tc>
          <w:tcPr>
            <w:tcW w:w="2792" w:type="dxa"/>
            <w:tcBorders>
              <w:top w:val="nil"/>
              <w:left w:val="nil"/>
              <w:bottom w:val="nil"/>
              <w:right w:val="nil"/>
            </w:tcBorders>
            <w:shd w:val="clear" w:color="auto" w:fill="auto"/>
            <w:noWrap/>
            <w:vAlign w:val="bottom"/>
            <w:hideMark/>
          </w:tcPr>
          <w:p w:rsidR="001F2172" w:rsidRPr="001F2172" w:rsidRDefault="008E6FFE" w:rsidP="00FE452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E1510">
              <w:rPr>
                <w:rFonts w:ascii="Calibri" w:eastAsia="Times New Roman" w:hAnsi="Calibri" w:cs="Calibri"/>
                <w:color w:val="000000"/>
              </w:rPr>
              <w:t>333,486</w:t>
            </w:r>
          </w:p>
        </w:tc>
      </w:tr>
      <w:tr w:rsidR="001F2172" w:rsidRPr="001F2172" w:rsidTr="007808E5">
        <w:trPr>
          <w:trHeight w:val="275"/>
        </w:trPr>
        <w:tc>
          <w:tcPr>
            <w:tcW w:w="5807"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p>
        </w:tc>
        <w:tc>
          <w:tcPr>
            <w:tcW w:w="2792" w:type="dxa"/>
            <w:tcBorders>
              <w:top w:val="single" w:sz="4" w:space="0" w:color="auto"/>
              <w:left w:val="nil"/>
              <w:bottom w:val="double" w:sz="6" w:space="0" w:color="auto"/>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r w:rsidRPr="001F2172">
              <w:rPr>
                <w:rFonts w:ascii="Calibri" w:eastAsia="Times New Roman" w:hAnsi="Calibri" w:cs="Calibri"/>
                <w:color w:val="000000"/>
              </w:rPr>
              <w:t xml:space="preserve"> $              </w:t>
            </w:r>
            <w:r>
              <w:rPr>
                <w:rFonts w:ascii="Calibri" w:eastAsia="Times New Roman" w:hAnsi="Calibri" w:cs="Calibri"/>
                <w:color w:val="000000"/>
              </w:rPr>
              <w:t xml:space="preserve">            </w:t>
            </w:r>
            <w:r w:rsidR="00CF0BE7">
              <w:rPr>
                <w:rFonts w:ascii="Calibri" w:eastAsia="Times New Roman" w:hAnsi="Calibri" w:cs="Calibri"/>
                <w:color w:val="000000"/>
              </w:rPr>
              <w:t xml:space="preserve">   4,518,3</w:t>
            </w:r>
            <w:r w:rsidR="00EE1510">
              <w:rPr>
                <w:rFonts w:ascii="Calibri" w:eastAsia="Times New Roman" w:hAnsi="Calibri" w:cs="Calibri"/>
                <w:color w:val="000000"/>
              </w:rPr>
              <w:t>94</w:t>
            </w:r>
            <w:r w:rsidRPr="001F2172">
              <w:rPr>
                <w:rFonts w:ascii="Calibri" w:eastAsia="Times New Roman" w:hAnsi="Calibri" w:cs="Calibri"/>
                <w:color w:val="000000"/>
              </w:rPr>
              <w:t xml:space="preserve"> </w:t>
            </w:r>
          </w:p>
        </w:tc>
      </w:tr>
      <w:tr w:rsidR="001F2172" w:rsidRPr="001F2172" w:rsidTr="007808E5">
        <w:trPr>
          <w:trHeight w:val="275"/>
        </w:trPr>
        <w:tc>
          <w:tcPr>
            <w:tcW w:w="5807"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p>
        </w:tc>
        <w:tc>
          <w:tcPr>
            <w:tcW w:w="2792" w:type="dxa"/>
            <w:tcBorders>
              <w:top w:val="nil"/>
              <w:left w:val="nil"/>
              <w:bottom w:val="nil"/>
              <w:right w:val="nil"/>
            </w:tcBorders>
            <w:shd w:val="clear" w:color="auto" w:fill="auto"/>
            <w:noWrap/>
            <w:vAlign w:val="bottom"/>
            <w:hideMark/>
          </w:tcPr>
          <w:p w:rsidR="001F2172" w:rsidRPr="001F2172" w:rsidRDefault="001F2172" w:rsidP="00FE452B">
            <w:pPr>
              <w:spacing w:after="0" w:line="240" w:lineRule="auto"/>
              <w:rPr>
                <w:rFonts w:ascii="Calibri" w:eastAsia="Times New Roman" w:hAnsi="Calibri" w:cs="Calibri"/>
                <w:color w:val="000000"/>
              </w:rPr>
            </w:pPr>
          </w:p>
        </w:tc>
      </w:tr>
    </w:tbl>
    <w:p w:rsidR="00855DD7" w:rsidRDefault="00855DD7" w:rsidP="00FE452B">
      <w:pPr>
        <w:spacing w:after="0" w:line="240" w:lineRule="auto"/>
      </w:pPr>
    </w:p>
    <w:p w:rsidR="001F2172" w:rsidRDefault="001F2172" w:rsidP="00FE452B">
      <w:pPr>
        <w:spacing w:after="0" w:line="240" w:lineRule="auto"/>
      </w:pPr>
      <w:r>
        <w:t>Los principales saldos de Retenciones por pagar a corto plazo se integran de la siguiente manera:</w:t>
      </w:r>
    </w:p>
    <w:p w:rsidR="001F2172" w:rsidRDefault="001F2172" w:rsidP="00FE452B">
      <w:pPr>
        <w:spacing w:after="0" w:line="240" w:lineRule="auto"/>
      </w:pPr>
    </w:p>
    <w:p w:rsidR="003A0DB2" w:rsidRPr="00E7392C" w:rsidRDefault="008E6FFE" w:rsidP="00E7392C">
      <w:pPr>
        <w:pStyle w:val="Prrafodelista"/>
        <w:numPr>
          <w:ilvl w:val="0"/>
          <w:numId w:val="5"/>
        </w:numPr>
        <w:spacing w:after="0" w:line="240" w:lineRule="auto"/>
        <w:rPr>
          <w:b/>
        </w:rPr>
      </w:pPr>
      <w:r w:rsidRPr="00E7392C">
        <w:rPr>
          <w:b/>
          <w:sz w:val="24"/>
          <w:szCs w:val="24"/>
        </w:rPr>
        <w:t>OTRAS CUENTAS POR PAGAR</w:t>
      </w:r>
    </w:p>
    <w:p w:rsidR="003A0DB2" w:rsidRDefault="003A0DB2" w:rsidP="00FE452B">
      <w:pPr>
        <w:spacing w:after="0" w:line="240" w:lineRule="auto"/>
      </w:pPr>
      <w:r w:rsidRPr="003A0DB2">
        <w:t>Los principales saldos se integran como sigue:</w:t>
      </w:r>
    </w:p>
    <w:tbl>
      <w:tblPr>
        <w:tblW w:w="8628" w:type="dxa"/>
        <w:tblInd w:w="54" w:type="dxa"/>
        <w:tblCellMar>
          <w:left w:w="70" w:type="dxa"/>
          <w:right w:w="70" w:type="dxa"/>
        </w:tblCellMar>
        <w:tblLook w:val="04A0" w:firstRow="1" w:lastRow="0" w:firstColumn="1" w:lastColumn="0" w:noHBand="0" w:noVBand="1"/>
      </w:tblPr>
      <w:tblGrid>
        <w:gridCol w:w="5801"/>
        <w:gridCol w:w="2827"/>
      </w:tblGrid>
      <w:tr w:rsidR="003A0DB2" w:rsidRPr="003A0DB2" w:rsidTr="00E7392C">
        <w:trPr>
          <w:trHeight w:val="263"/>
        </w:trPr>
        <w:tc>
          <w:tcPr>
            <w:tcW w:w="5801"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rPr>
                <w:rFonts w:ascii="Calibri" w:eastAsia="Times New Roman" w:hAnsi="Calibri" w:cs="Calibri"/>
                <w:color w:val="000000"/>
              </w:rPr>
            </w:pPr>
          </w:p>
        </w:tc>
        <w:tc>
          <w:tcPr>
            <w:tcW w:w="2827"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jc w:val="center"/>
              <w:rPr>
                <w:rFonts w:ascii="Calibri" w:eastAsia="Times New Roman" w:hAnsi="Calibri" w:cs="Calibri"/>
                <w:b/>
                <w:bCs/>
                <w:color w:val="000000"/>
              </w:rPr>
            </w:pPr>
          </w:p>
        </w:tc>
      </w:tr>
      <w:tr w:rsidR="003A0DB2" w:rsidRPr="003A0DB2" w:rsidTr="00E7392C">
        <w:trPr>
          <w:trHeight w:val="263"/>
        </w:trPr>
        <w:tc>
          <w:tcPr>
            <w:tcW w:w="5801"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rPr>
                <w:rFonts w:ascii="Calibri" w:eastAsia="Times New Roman" w:hAnsi="Calibri" w:cs="Calibri"/>
                <w:color w:val="000000"/>
              </w:rPr>
            </w:pPr>
          </w:p>
        </w:tc>
        <w:tc>
          <w:tcPr>
            <w:tcW w:w="2827"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rPr>
                <w:rFonts w:ascii="Calibri" w:eastAsia="Times New Roman" w:hAnsi="Calibri" w:cs="Calibri"/>
                <w:color w:val="000000"/>
              </w:rPr>
            </w:pPr>
          </w:p>
        </w:tc>
      </w:tr>
      <w:tr w:rsidR="003A0DB2" w:rsidRPr="003A0DB2" w:rsidTr="00E7392C">
        <w:trPr>
          <w:trHeight w:val="263"/>
        </w:trPr>
        <w:tc>
          <w:tcPr>
            <w:tcW w:w="5801"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rPr>
                <w:rFonts w:ascii="Calibri" w:eastAsia="Times New Roman" w:hAnsi="Calibri" w:cs="Calibri"/>
                <w:color w:val="000000"/>
              </w:rPr>
            </w:pPr>
            <w:r w:rsidRPr="003A0DB2">
              <w:rPr>
                <w:rFonts w:ascii="Calibri" w:eastAsia="Times New Roman" w:hAnsi="Calibri" w:cs="Calibri"/>
                <w:color w:val="000000"/>
              </w:rPr>
              <w:t>Servicios Subrogados</w:t>
            </w:r>
          </w:p>
        </w:tc>
        <w:tc>
          <w:tcPr>
            <w:tcW w:w="2827" w:type="dxa"/>
            <w:tcBorders>
              <w:top w:val="nil"/>
              <w:left w:val="nil"/>
              <w:bottom w:val="nil"/>
              <w:right w:val="nil"/>
            </w:tcBorders>
            <w:shd w:val="clear" w:color="auto" w:fill="auto"/>
            <w:noWrap/>
            <w:vAlign w:val="bottom"/>
            <w:hideMark/>
          </w:tcPr>
          <w:p w:rsidR="003A0DB2" w:rsidRPr="003A0DB2" w:rsidRDefault="00CF0BE7" w:rsidP="00FE452B">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            224,093,008</w:t>
            </w:r>
            <w:r w:rsidR="003A0DB2" w:rsidRPr="003A0DB2">
              <w:rPr>
                <w:rFonts w:ascii="Calibri" w:eastAsia="Times New Roman" w:hAnsi="Calibri" w:cs="Calibri"/>
                <w:color w:val="000000"/>
              </w:rPr>
              <w:t xml:space="preserve"> </w:t>
            </w:r>
          </w:p>
        </w:tc>
      </w:tr>
      <w:tr w:rsidR="003A0DB2" w:rsidRPr="003A0DB2" w:rsidTr="00E7392C">
        <w:trPr>
          <w:trHeight w:val="80"/>
        </w:trPr>
        <w:tc>
          <w:tcPr>
            <w:tcW w:w="5801"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rPr>
                <w:rFonts w:ascii="Calibri" w:eastAsia="Times New Roman" w:hAnsi="Calibri" w:cs="Calibri"/>
                <w:color w:val="000000"/>
              </w:rPr>
            </w:pPr>
            <w:r w:rsidRPr="003A0DB2">
              <w:rPr>
                <w:rFonts w:ascii="Calibri" w:eastAsia="Times New Roman" w:hAnsi="Calibri" w:cs="Calibri"/>
                <w:color w:val="000000"/>
              </w:rPr>
              <w:t>Sobregiros Bancarios</w:t>
            </w:r>
          </w:p>
        </w:tc>
        <w:tc>
          <w:tcPr>
            <w:tcW w:w="2827" w:type="dxa"/>
            <w:tcBorders>
              <w:top w:val="nil"/>
              <w:left w:val="nil"/>
              <w:bottom w:val="nil"/>
              <w:right w:val="nil"/>
            </w:tcBorders>
            <w:shd w:val="clear" w:color="auto" w:fill="auto"/>
            <w:noWrap/>
            <w:vAlign w:val="bottom"/>
            <w:hideMark/>
          </w:tcPr>
          <w:p w:rsidR="003A0DB2" w:rsidRPr="003A0DB2" w:rsidRDefault="00CF0BE7" w:rsidP="00FE452B">
            <w:pPr>
              <w:spacing w:after="0" w:line="240" w:lineRule="auto"/>
              <w:jc w:val="right"/>
              <w:rPr>
                <w:rFonts w:ascii="Calibri" w:eastAsia="Times New Roman" w:hAnsi="Calibri" w:cs="Calibri"/>
                <w:color w:val="000000"/>
              </w:rPr>
            </w:pPr>
            <w:r>
              <w:rPr>
                <w:rFonts w:ascii="Calibri" w:eastAsia="Times New Roman" w:hAnsi="Calibri" w:cs="Calibri"/>
                <w:color w:val="000000"/>
              </w:rPr>
              <w:t>-25,245</w:t>
            </w:r>
          </w:p>
        </w:tc>
      </w:tr>
      <w:tr w:rsidR="003A0DB2" w:rsidRPr="003A0DB2" w:rsidTr="00E7392C">
        <w:trPr>
          <w:trHeight w:val="263"/>
        </w:trPr>
        <w:tc>
          <w:tcPr>
            <w:tcW w:w="5801"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rPr>
                <w:rFonts w:ascii="Calibri" w:eastAsia="Times New Roman" w:hAnsi="Calibri" w:cs="Calibri"/>
                <w:color w:val="000000"/>
              </w:rPr>
            </w:pPr>
            <w:r w:rsidRPr="003A0DB2">
              <w:rPr>
                <w:rFonts w:ascii="Calibri" w:eastAsia="Times New Roman" w:hAnsi="Calibri" w:cs="Calibri"/>
                <w:color w:val="000000"/>
              </w:rPr>
              <w:t>Acreedores Diversos</w:t>
            </w:r>
          </w:p>
        </w:tc>
        <w:tc>
          <w:tcPr>
            <w:tcW w:w="2827" w:type="dxa"/>
            <w:tcBorders>
              <w:top w:val="nil"/>
              <w:left w:val="nil"/>
              <w:bottom w:val="nil"/>
              <w:right w:val="nil"/>
            </w:tcBorders>
            <w:shd w:val="clear" w:color="auto" w:fill="auto"/>
            <w:noWrap/>
            <w:vAlign w:val="bottom"/>
            <w:hideMark/>
          </w:tcPr>
          <w:p w:rsidR="003A0DB2" w:rsidRPr="003A0DB2" w:rsidRDefault="00CF0BE7" w:rsidP="00FE452B">
            <w:pPr>
              <w:spacing w:after="0" w:line="240" w:lineRule="auto"/>
              <w:jc w:val="right"/>
              <w:rPr>
                <w:rFonts w:ascii="Calibri" w:eastAsia="Times New Roman" w:hAnsi="Calibri" w:cs="Calibri"/>
                <w:color w:val="000000"/>
              </w:rPr>
            </w:pPr>
            <w:r>
              <w:rPr>
                <w:rFonts w:ascii="Calibri" w:eastAsia="Times New Roman" w:hAnsi="Calibri" w:cs="Calibri"/>
                <w:color w:val="000000"/>
              </w:rPr>
              <w:t>38,128,572</w:t>
            </w:r>
          </w:p>
        </w:tc>
      </w:tr>
      <w:tr w:rsidR="003A0DB2" w:rsidRPr="003A0DB2" w:rsidTr="00E7392C">
        <w:trPr>
          <w:trHeight w:val="263"/>
        </w:trPr>
        <w:tc>
          <w:tcPr>
            <w:tcW w:w="5801"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rPr>
                <w:rFonts w:ascii="Calibri" w:eastAsia="Times New Roman" w:hAnsi="Calibri" w:cs="Calibri"/>
                <w:color w:val="000000"/>
              </w:rPr>
            </w:pPr>
            <w:r w:rsidRPr="003A0DB2">
              <w:rPr>
                <w:rFonts w:ascii="Calibri" w:eastAsia="Times New Roman" w:hAnsi="Calibri" w:cs="Calibri"/>
                <w:color w:val="000000"/>
              </w:rPr>
              <w:t>Acreedores por Arrendamientos</w:t>
            </w:r>
          </w:p>
        </w:tc>
        <w:tc>
          <w:tcPr>
            <w:tcW w:w="2827" w:type="dxa"/>
            <w:tcBorders>
              <w:top w:val="nil"/>
              <w:left w:val="nil"/>
              <w:bottom w:val="nil"/>
              <w:right w:val="nil"/>
            </w:tcBorders>
            <w:shd w:val="clear" w:color="auto" w:fill="auto"/>
            <w:noWrap/>
            <w:vAlign w:val="bottom"/>
            <w:hideMark/>
          </w:tcPr>
          <w:p w:rsidR="003A0DB2" w:rsidRPr="003A0DB2" w:rsidRDefault="00CF0BE7" w:rsidP="00FE452B">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1,540,979</w:t>
            </w:r>
            <w:r w:rsidR="003A0DB2" w:rsidRPr="003A0DB2">
              <w:rPr>
                <w:rFonts w:ascii="Calibri" w:eastAsia="Times New Roman" w:hAnsi="Calibri" w:cs="Calibri"/>
                <w:color w:val="000000"/>
              </w:rPr>
              <w:t xml:space="preserve"> </w:t>
            </w:r>
          </w:p>
        </w:tc>
      </w:tr>
      <w:tr w:rsidR="00861A3C" w:rsidRPr="003A0DB2" w:rsidTr="00E7392C">
        <w:trPr>
          <w:trHeight w:val="263"/>
        </w:trPr>
        <w:tc>
          <w:tcPr>
            <w:tcW w:w="5801" w:type="dxa"/>
            <w:tcBorders>
              <w:top w:val="nil"/>
              <w:left w:val="nil"/>
              <w:bottom w:val="nil"/>
              <w:right w:val="nil"/>
            </w:tcBorders>
            <w:shd w:val="clear" w:color="auto" w:fill="auto"/>
            <w:noWrap/>
            <w:vAlign w:val="bottom"/>
            <w:hideMark/>
          </w:tcPr>
          <w:p w:rsidR="00861A3C" w:rsidRPr="003A0DB2" w:rsidRDefault="00861A3C" w:rsidP="00FE452B">
            <w:pPr>
              <w:spacing w:after="0" w:line="240" w:lineRule="auto"/>
              <w:rPr>
                <w:rFonts w:ascii="Calibri" w:eastAsia="Times New Roman" w:hAnsi="Calibri" w:cs="Calibri"/>
                <w:color w:val="000000"/>
              </w:rPr>
            </w:pPr>
            <w:r>
              <w:rPr>
                <w:rFonts w:ascii="Calibri" w:eastAsia="Times New Roman" w:hAnsi="Calibri" w:cs="Calibri"/>
                <w:color w:val="000000"/>
              </w:rPr>
              <w:t>Fovisssteson Cuenta Corriente</w:t>
            </w:r>
          </w:p>
        </w:tc>
        <w:tc>
          <w:tcPr>
            <w:tcW w:w="2827" w:type="dxa"/>
            <w:tcBorders>
              <w:top w:val="nil"/>
              <w:left w:val="nil"/>
              <w:bottom w:val="nil"/>
              <w:right w:val="nil"/>
            </w:tcBorders>
            <w:shd w:val="clear" w:color="auto" w:fill="auto"/>
            <w:noWrap/>
            <w:vAlign w:val="bottom"/>
            <w:hideMark/>
          </w:tcPr>
          <w:p w:rsidR="00861A3C" w:rsidRPr="003A0DB2" w:rsidRDefault="00861A3C" w:rsidP="00FE452B">
            <w:pPr>
              <w:spacing w:after="0" w:line="240" w:lineRule="auto"/>
              <w:jc w:val="right"/>
              <w:rPr>
                <w:rFonts w:ascii="Calibri" w:eastAsia="Times New Roman" w:hAnsi="Calibri" w:cs="Calibri"/>
                <w:color w:val="000000"/>
              </w:rPr>
            </w:pPr>
            <w:r>
              <w:rPr>
                <w:rFonts w:ascii="Calibri" w:eastAsia="Times New Roman" w:hAnsi="Calibri" w:cs="Calibri"/>
                <w:color w:val="000000"/>
              </w:rPr>
              <w:t>1,029,470,173</w:t>
            </w:r>
          </w:p>
        </w:tc>
      </w:tr>
      <w:tr w:rsidR="003A0DB2" w:rsidRPr="003A0DB2" w:rsidTr="00E7392C">
        <w:trPr>
          <w:trHeight w:val="274"/>
        </w:trPr>
        <w:tc>
          <w:tcPr>
            <w:tcW w:w="5801" w:type="dxa"/>
            <w:tcBorders>
              <w:top w:val="nil"/>
              <w:left w:val="nil"/>
              <w:bottom w:val="nil"/>
              <w:right w:val="nil"/>
            </w:tcBorders>
            <w:shd w:val="clear" w:color="auto" w:fill="auto"/>
            <w:noWrap/>
            <w:vAlign w:val="bottom"/>
            <w:hideMark/>
          </w:tcPr>
          <w:p w:rsidR="003A0DB2" w:rsidRPr="003A0DB2" w:rsidRDefault="003A0DB2" w:rsidP="00FE452B">
            <w:pPr>
              <w:spacing w:after="0" w:line="240" w:lineRule="auto"/>
              <w:rPr>
                <w:rFonts w:ascii="Calibri" w:eastAsia="Times New Roman" w:hAnsi="Calibri" w:cs="Calibri"/>
                <w:color w:val="000000"/>
              </w:rPr>
            </w:pPr>
          </w:p>
        </w:tc>
        <w:tc>
          <w:tcPr>
            <w:tcW w:w="2827" w:type="dxa"/>
            <w:tcBorders>
              <w:top w:val="single" w:sz="4" w:space="0" w:color="auto"/>
              <w:left w:val="nil"/>
              <w:bottom w:val="double" w:sz="6" w:space="0" w:color="auto"/>
              <w:right w:val="nil"/>
            </w:tcBorders>
            <w:shd w:val="clear" w:color="auto" w:fill="auto"/>
            <w:noWrap/>
            <w:vAlign w:val="bottom"/>
            <w:hideMark/>
          </w:tcPr>
          <w:p w:rsidR="003A0DB2" w:rsidRPr="003A0DB2" w:rsidRDefault="00CF0BE7" w:rsidP="00FE452B">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            1,293,207,487</w:t>
            </w:r>
            <w:r w:rsidR="003A0DB2" w:rsidRPr="003A0DB2">
              <w:rPr>
                <w:rFonts w:ascii="Calibri" w:eastAsia="Times New Roman" w:hAnsi="Calibri" w:cs="Calibri"/>
                <w:color w:val="000000"/>
              </w:rPr>
              <w:t xml:space="preserve"> </w:t>
            </w:r>
          </w:p>
        </w:tc>
      </w:tr>
    </w:tbl>
    <w:p w:rsidR="003A0DB2" w:rsidRPr="003A0DB2" w:rsidRDefault="003A0DB2" w:rsidP="00FE452B">
      <w:pPr>
        <w:spacing w:after="0" w:line="240" w:lineRule="auto"/>
      </w:pPr>
    </w:p>
    <w:p w:rsidR="003A0DB2" w:rsidRDefault="003A0DB2" w:rsidP="00FE452B">
      <w:pPr>
        <w:spacing w:after="0" w:line="240" w:lineRule="auto"/>
        <w:jc w:val="both"/>
        <w:rPr>
          <w:b/>
        </w:rPr>
      </w:pPr>
    </w:p>
    <w:p w:rsidR="002501DC" w:rsidRPr="00E7392C" w:rsidRDefault="0088709D" w:rsidP="00E7392C">
      <w:pPr>
        <w:pStyle w:val="Prrafodelista"/>
        <w:numPr>
          <w:ilvl w:val="0"/>
          <w:numId w:val="4"/>
        </w:numPr>
        <w:spacing w:after="0" w:line="240" w:lineRule="auto"/>
        <w:jc w:val="both"/>
        <w:rPr>
          <w:sz w:val="24"/>
          <w:szCs w:val="24"/>
        </w:rPr>
      </w:pPr>
      <w:r>
        <w:rPr>
          <w:sz w:val="24"/>
          <w:szCs w:val="24"/>
        </w:rPr>
        <w:t>El saldo por pagar al 30 de Junio</w:t>
      </w:r>
      <w:r w:rsidR="002501DC" w:rsidRPr="002501DC">
        <w:rPr>
          <w:sz w:val="24"/>
          <w:szCs w:val="24"/>
        </w:rPr>
        <w:t xml:space="preserve"> de 2016 de Servicios Subrogados corresponde a honorarios médicos, servicios de hospitales y laboratorios y farmacias que prestan los servicios a los derechohabientes.</w:t>
      </w:r>
    </w:p>
    <w:p w:rsidR="002501DC" w:rsidRPr="002501DC" w:rsidRDefault="002501DC" w:rsidP="00FE452B">
      <w:pPr>
        <w:pStyle w:val="Prrafodelista"/>
        <w:numPr>
          <w:ilvl w:val="0"/>
          <w:numId w:val="4"/>
        </w:numPr>
        <w:spacing w:after="0" w:line="240" w:lineRule="auto"/>
        <w:jc w:val="both"/>
        <w:rPr>
          <w:sz w:val="24"/>
          <w:szCs w:val="24"/>
        </w:rPr>
      </w:pPr>
      <w:r>
        <w:rPr>
          <w:sz w:val="24"/>
          <w:szCs w:val="24"/>
        </w:rPr>
        <w:t>Los saldos por p</w:t>
      </w:r>
      <w:r w:rsidR="0088709D">
        <w:rPr>
          <w:sz w:val="24"/>
          <w:szCs w:val="24"/>
        </w:rPr>
        <w:t>agar a Acreedores Diversos al 30 de Juni</w:t>
      </w:r>
      <w:r>
        <w:rPr>
          <w:sz w:val="24"/>
          <w:szCs w:val="24"/>
        </w:rPr>
        <w:t xml:space="preserve">o de 2016 principalmente son de ADEFAS 2014 Y 2015 que a esas fechas no fueron </w:t>
      </w:r>
      <w:r w:rsidR="00E7392C">
        <w:rPr>
          <w:sz w:val="24"/>
          <w:szCs w:val="24"/>
        </w:rPr>
        <w:t>cubiertas.</w:t>
      </w:r>
    </w:p>
    <w:p w:rsidR="002501DC" w:rsidRPr="002501DC" w:rsidRDefault="002501DC" w:rsidP="00FE452B">
      <w:pPr>
        <w:spacing w:after="0" w:line="240" w:lineRule="auto"/>
        <w:rPr>
          <w:sz w:val="24"/>
          <w:szCs w:val="24"/>
        </w:rPr>
      </w:pPr>
    </w:p>
    <w:p w:rsidR="002501DC" w:rsidRPr="002501DC" w:rsidRDefault="002501DC" w:rsidP="00FE452B">
      <w:pPr>
        <w:spacing w:after="0" w:line="240" w:lineRule="auto"/>
        <w:rPr>
          <w:sz w:val="24"/>
          <w:szCs w:val="24"/>
        </w:rPr>
      </w:pPr>
    </w:p>
    <w:p w:rsidR="003A0DB2" w:rsidRPr="00E7392C" w:rsidRDefault="008E6FFE" w:rsidP="00E7392C">
      <w:pPr>
        <w:pStyle w:val="Prrafodelista"/>
        <w:numPr>
          <w:ilvl w:val="0"/>
          <w:numId w:val="5"/>
        </w:numPr>
        <w:spacing w:after="0" w:line="240" w:lineRule="auto"/>
        <w:rPr>
          <w:b/>
          <w:sz w:val="24"/>
          <w:szCs w:val="24"/>
        </w:rPr>
      </w:pPr>
      <w:r w:rsidRPr="00E7392C">
        <w:rPr>
          <w:b/>
          <w:sz w:val="24"/>
          <w:szCs w:val="24"/>
        </w:rPr>
        <w:t>PATRIMONIO</w:t>
      </w:r>
    </w:p>
    <w:p w:rsidR="00E7392C" w:rsidRPr="00E7392C" w:rsidRDefault="00E7392C" w:rsidP="00E7392C">
      <w:pPr>
        <w:pStyle w:val="Prrafodelista"/>
        <w:spacing w:after="0" w:line="240" w:lineRule="auto"/>
        <w:ind w:left="420"/>
        <w:rPr>
          <w:b/>
          <w:sz w:val="24"/>
          <w:szCs w:val="24"/>
        </w:rPr>
      </w:pPr>
    </w:p>
    <w:p w:rsidR="003A0DB2" w:rsidRDefault="00E7392C" w:rsidP="00FE452B">
      <w:pPr>
        <w:spacing w:after="0" w:line="240" w:lineRule="auto"/>
        <w:jc w:val="both"/>
      </w:pPr>
      <w:r>
        <w:t>a)  E</w:t>
      </w:r>
      <w:r w:rsidR="003A0DB2">
        <w:t>l saldo de patrimonio corresponde a la aportación inicial, donaciones recibidas y remanentes obtenidos por la entidad, desde su constitución.</w:t>
      </w:r>
    </w:p>
    <w:p w:rsidR="00A60446" w:rsidRDefault="00A60446" w:rsidP="00FE452B">
      <w:pPr>
        <w:spacing w:after="0" w:line="240" w:lineRule="auto"/>
        <w:rPr>
          <w:b/>
          <w:sz w:val="24"/>
          <w:szCs w:val="24"/>
        </w:rPr>
      </w:pPr>
    </w:p>
    <w:p w:rsidR="00A60446" w:rsidRPr="00E7392C" w:rsidRDefault="00E7392C" w:rsidP="00E7392C">
      <w:pPr>
        <w:spacing w:after="0" w:line="240" w:lineRule="auto"/>
        <w:rPr>
          <w:b/>
          <w:sz w:val="28"/>
          <w:szCs w:val="24"/>
        </w:rPr>
      </w:pPr>
      <w:r w:rsidRPr="00E7392C">
        <w:rPr>
          <w:b/>
          <w:sz w:val="28"/>
          <w:szCs w:val="24"/>
        </w:rPr>
        <w:t xml:space="preserve">II) </w:t>
      </w:r>
      <w:r w:rsidR="00A60446" w:rsidRPr="00E7392C">
        <w:rPr>
          <w:b/>
          <w:sz w:val="28"/>
          <w:szCs w:val="24"/>
        </w:rPr>
        <w:t>NOTAS AL ESTADO DE ACTIVIDADES</w:t>
      </w:r>
    </w:p>
    <w:p w:rsidR="00A60446" w:rsidRDefault="00A60446" w:rsidP="00FE452B">
      <w:pPr>
        <w:spacing w:after="0" w:line="240" w:lineRule="auto"/>
        <w:rPr>
          <w:b/>
          <w:sz w:val="24"/>
          <w:szCs w:val="24"/>
        </w:rPr>
      </w:pPr>
    </w:p>
    <w:p w:rsidR="003A0DB2" w:rsidRPr="00824DB8" w:rsidRDefault="00824DB8" w:rsidP="00824DB8">
      <w:pPr>
        <w:pStyle w:val="Prrafodelista"/>
        <w:numPr>
          <w:ilvl w:val="0"/>
          <w:numId w:val="8"/>
        </w:numPr>
        <w:spacing w:after="0" w:line="240" w:lineRule="auto"/>
        <w:rPr>
          <w:b/>
          <w:sz w:val="24"/>
          <w:szCs w:val="24"/>
        </w:rPr>
      </w:pPr>
      <w:r w:rsidRPr="00824DB8">
        <w:rPr>
          <w:b/>
          <w:sz w:val="24"/>
          <w:szCs w:val="24"/>
        </w:rPr>
        <w:t>INGRESOS DEL INSTITUTO</w:t>
      </w:r>
    </w:p>
    <w:p w:rsidR="003A0DB2" w:rsidRDefault="003A0DB2" w:rsidP="00FE452B">
      <w:pPr>
        <w:spacing w:after="0" w:line="240" w:lineRule="auto"/>
        <w:rPr>
          <w:b/>
        </w:rPr>
      </w:pPr>
    </w:p>
    <w:p w:rsidR="003A0DB2" w:rsidRPr="00A26DCD" w:rsidRDefault="00A26DCD" w:rsidP="00FE452B">
      <w:pPr>
        <w:spacing w:after="0" w:line="240" w:lineRule="auto"/>
      </w:pPr>
      <w:r w:rsidRPr="00A26DCD">
        <w:t>Los ingresos obtenidos por el I</w:t>
      </w:r>
      <w:r w:rsidR="0088709D">
        <w:t>nstituto, al 30 de Junio</w:t>
      </w:r>
      <w:r w:rsidR="003A0DB2" w:rsidRPr="00A26DCD">
        <w:t xml:space="preserve"> 2016, se integra como sigue:</w:t>
      </w:r>
    </w:p>
    <w:p w:rsidR="003A0DB2" w:rsidRDefault="003A0DB2" w:rsidP="00FE452B">
      <w:pPr>
        <w:spacing w:after="0" w:line="240" w:lineRule="auto"/>
        <w:rPr>
          <w:b/>
        </w:rPr>
      </w:pPr>
    </w:p>
    <w:tbl>
      <w:tblPr>
        <w:tblW w:w="8570" w:type="dxa"/>
        <w:tblInd w:w="54" w:type="dxa"/>
        <w:tblCellMar>
          <w:left w:w="70" w:type="dxa"/>
          <w:right w:w="70" w:type="dxa"/>
        </w:tblCellMar>
        <w:tblLook w:val="04A0" w:firstRow="1" w:lastRow="0" w:firstColumn="1" w:lastColumn="0" w:noHBand="0" w:noVBand="1"/>
      </w:tblPr>
      <w:tblGrid>
        <w:gridCol w:w="5762"/>
        <w:gridCol w:w="2808"/>
      </w:tblGrid>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jc w:val="center"/>
              <w:rPr>
                <w:rFonts w:ascii="Calibri" w:eastAsia="Times New Roman" w:hAnsi="Calibri" w:cs="Calibri"/>
                <w:b/>
                <w:bCs/>
                <w:color w:val="000000"/>
              </w:rPr>
            </w:pPr>
          </w:p>
        </w:tc>
        <w:tc>
          <w:tcPr>
            <w:tcW w:w="2808"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jc w:val="center"/>
              <w:rPr>
                <w:rFonts w:ascii="Calibri" w:eastAsia="Times New Roman" w:hAnsi="Calibri" w:cs="Calibri"/>
                <w:b/>
                <w:bCs/>
                <w:color w:val="000000"/>
              </w:rPr>
            </w:pP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b/>
                <w:bCs/>
                <w:color w:val="000000"/>
              </w:rPr>
            </w:pPr>
            <w:r w:rsidRPr="00A26DCD">
              <w:rPr>
                <w:rFonts w:ascii="Calibri" w:eastAsia="Times New Roman" w:hAnsi="Calibri" w:cs="Calibri"/>
                <w:b/>
                <w:bCs/>
                <w:color w:val="000000"/>
              </w:rPr>
              <w:t>Cuotas y aportaciones:</w:t>
            </w:r>
          </w:p>
        </w:tc>
        <w:tc>
          <w:tcPr>
            <w:tcW w:w="2808"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r w:rsidRPr="00A26DCD">
              <w:rPr>
                <w:rFonts w:ascii="Calibri" w:eastAsia="Times New Roman" w:hAnsi="Calibri" w:cs="Calibri"/>
                <w:color w:val="000000"/>
              </w:rPr>
              <w:t>Cuotas y aportaciones</w:t>
            </w:r>
          </w:p>
        </w:tc>
        <w:tc>
          <w:tcPr>
            <w:tcW w:w="2808"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r w:rsidRPr="00A26DCD">
              <w:rPr>
                <w:rFonts w:ascii="Calibri" w:eastAsia="Times New Roman" w:hAnsi="Calibri" w:cs="Calibri"/>
                <w:color w:val="000000"/>
              </w:rPr>
              <w:t xml:space="preserve"> $       </w:t>
            </w:r>
            <w:r>
              <w:rPr>
                <w:rFonts w:ascii="Calibri" w:eastAsia="Times New Roman" w:hAnsi="Calibri" w:cs="Calibri"/>
                <w:color w:val="000000"/>
              </w:rPr>
              <w:t xml:space="preserve">              </w:t>
            </w:r>
            <w:r w:rsidRPr="00A26DCD">
              <w:rPr>
                <w:rFonts w:ascii="Calibri" w:eastAsia="Times New Roman" w:hAnsi="Calibri" w:cs="Calibri"/>
                <w:color w:val="000000"/>
              </w:rPr>
              <w:t xml:space="preserve"> 2,</w:t>
            </w:r>
            <w:r w:rsidR="00602923">
              <w:rPr>
                <w:rFonts w:ascii="Calibri" w:eastAsia="Times New Roman" w:hAnsi="Calibri" w:cs="Calibri"/>
                <w:color w:val="000000"/>
              </w:rPr>
              <w:t>665,</w:t>
            </w:r>
            <w:r w:rsidR="00996BFF">
              <w:rPr>
                <w:rFonts w:ascii="Calibri" w:eastAsia="Times New Roman" w:hAnsi="Calibri" w:cs="Calibri"/>
                <w:color w:val="000000"/>
              </w:rPr>
              <w:t>466,057</w:t>
            </w: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r w:rsidRPr="00A26DCD">
              <w:rPr>
                <w:rFonts w:ascii="Calibri" w:eastAsia="Times New Roman" w:hAnsi="Calibri" w:cs="Calibri"/>
                <w:color w:val="000000"/>
              </w:rPr>
              <w:t>Transferencias al sector público</w:t>
            </w:r>
          </w:p>
        </w:tc>
        <w:tc>
          <w:tcPr>
            <w:tcW w:w="2808" w:type="dxa"/>
            <w:tcBorders>
              <w:top w:val="nil"/>
              <w:left w:val="nil"/>
              <w:bottom w:val="nil"/>
              <w:right w:val="nil"/>
            </w:tcBorders>
            <w:shd w:val="clear" w:color="auto" w:fill="auto"/>
            <w:noWrap/>
            <w:vAlign w:val="bottom"/>
            <w:hideMark/>
          </w:tcPr>
          <w:p w:rsidR="00A26DCD" w:rsidRPr="00A26DCD" w:rsidRDefault="00824DB8" w:rsidP="00824DB8">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602923">
              <w:rPr>
                <w:rFonts w:ascii="Calibri" w:eastAsia="Times New Roman" w:hAnsi="Calibri" w:cs="Calibri"/>
                <w:color w:val="000000"/>
              </w:rPr>
              <w:t>26,236,170</w:t>
            </w: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p>
        </w:tc>
        <w:tc>
          <w:tcPr>
            <w:tcW w:w="2808" w:type="dxa"/>
            <w:tcBorders>
              <w:top w:val="single" w:sz="4" w:space="0" w:color="auto"/>
              <w:left w:val="nil"/>
              <w:bottom w:val="nil"/>
              <w:right w:val="nil"/>
            </w:tcBorders>
            <w:shd w:val="clear" w:color="auto" w:fill="auto"/>
            <w:noWrap/>
            <w:vAlign w:val="bottom"/>
            <w:hideMark/>
          </w:tcPr>
          <w:p w:rsidR="00A26DCD" w:rsidRPr="00A26DCD" w:rsidRDefault="00824DB8" w:rsidP="00824DB8">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A26DCD" w:rsidRPr="00A26DCD">
              <w:rPr>
                <w:rFonts w:ascii="Calibri" w:eastAsia="Times New Roman" w:hAnsi="Calibri" w:cs="Calibri"/>
                <w:color w:val="000000"/>
              </w:rPr>
              <w:t>2,</w:t>
            </w:r>
            <w:r w:rsidR="00602923">
              <w:rPr>
                <w:rFonts w:ascii="Calibri" w:eastAsia="Times New Roman" w:hAnsi="Calibri" w:cs="Calibri"/>
                <w:color w:val="000000"/>
              </w:rPr>
              <w:t>691,</w:t>
            </w:r>
            <w:r w:rsidR="00996BFF">
              <w:rPr>
                <w:rFonts w:ascii="Calibri" w:eastAsia="Times New Roman" w:hAnsi="Calibri" w:cs="Calibri"/>
                <w:color w:val="000000"/>
              </w:rPr>
              <w:t>702,227</w:t>
            </w: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p>
        </w:tc>
        <w:tc>
          <w:tcPr>
            <w:tcW w:w="2808"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b/>
                <w:bCs/>
                <w:color w:val="000000"/>
              </w:rPr>
            </w:pPr>
            <w:r w:rsidRPr="00A26DCD">
              <w:rPr>
                <w:rFonts w:ascii="Calibri" w:eastAsia="Times New Roman" w:hAnsi="Calibri" w:cs="Calibri"/>
                <w:b/>
                <w:bCs/>
                <w:color w:val="000000"/>
              </w:rPr>
              <w:t>Otros Ingresos</w:t>
            </w:r>
          </w:p>
        </w:tc>
        <w:tc>
          <w:tcPr>
            <w:tcW w:w="2808"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r w:rsidRPr="00A26DCD">
              <w:rPr>
                <w:rFonts w:ascii="Calibri" w:eastAsia="Times New Roman" w:hAnsi="Calibri" w:cs="Calibri"/>
                <w:color w:val="000000"/>
              </w:rPr>
              <w:t>Productos financieros</w:t>
            </w:r>
          </w:p>
        </w:tc>
        <w:tc>
          <w:tcPr>
            <w:tcW w:w="2808" w:type="dxa"/>
            <w:tcBorders>
              <w:top w:val="nil"/>
              <w:left w:val="nil"/>
              <w:bottom w:val="nil"/>
              <w:right w:val="nil"/>
            </w:tcBorders>
            <w:shd w:val="clear" w:color="auto" w:fill="auto"/>
            <w:noWrap/>
            <w:vAlign w:val="bottom"/>
            <w:hideMark/>
          </w:tcPr>
          <w:p w:rsidR="00A26DCD" w:rsidRPr="00A26DCD" w:rsidRDefault="00824DB8" w:rsidP="00824DB8">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602923">
              <w:rPr>
                <w:rFonts w:ascii="Calibri" w:eastAsia="Times New Roman" w:hAnsi="Calibri" w:cs="Calibri"/>
                <w:color w:val="000000"/>
              </w:rPr>
              <w:t>19,</w:t>
            </w:r>
            <w:r w:rsidR="00996BFF">
              <w:rPr>
                <w:rFonts w:ascii="Calibri" w:eastAsia="Times New Roman" w:hAnsi="Calibri" w:cs="Calibri"/>
                <w:color w:val="000000"/>
              </w:rPr>
              <w:t>972,232</w:t>
            </w: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r w:rsidRPr="00A26DCD">
              <w:rPr>
                <w:rFonts w:ascii="Calibri" w:eastAsia="Times New Roman" w:hAnsi="Calibri" w:cs="Calibri"/>
                <w:color w:val="000000"/>
              </w:rPr>
              <w:t>Otros ingresos</w:t>
            </w:r>
          </w:p>
        </w:tc>
        <w:tc>
          <w:tcPr>
            <w:tcW w:w="2808" w:type="dxa"/>
            <w:tcBorders>
              <w:top w:val="nil"/>
              <w:left w:val="nil"/>
              <w:bottom w:val="nil"/>
              <w:right w:val="nil"/>
            </w:tcBorders>
            <w:shd w:val="clear" w:color="auto" w:fill="auto"/>
            <w:noWrap/>
            <w:vAlign w:val="bottom"/>
            <w:hideMark/>
          </w:tcPr>
          <w:p w:rsidR="00A26DCD" w:rsidRPr="00A26DCD" w:rsidRDefault="00824DB8" w:rsidP="00824DB8">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996BFF">
              <w:rPr>
                <w:rFonts w:ascii="Calibri" w:eastAsia="Times New Roman" w:hAnsi="Calibri" w:cs="Calibri"/>
                <w:color w:val="000000"/>
              </w:rPr>
              <w:t>432,114</w:t>
            </w:r>
          </w:p>
        </w:tc>
      </w:tr>
      <w:tr w:rsidR="00A26DCD" w:rsidRPr="00A26DCD" w:rsidTr="00824DB8">
        <w:trPr>
          <w:trHeight w:val="264"/>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p>
        </w:tc>
        <w:tc>
          <w:tcPr>
            <w:tcW w:w="2808" w:type="dxa"/>
            <w:tcBorders>
              <w:top w:val="single" w:sz="4" w:space="0" w:color="auto"/>
              <w:left w:val="nil"/>
              <w:bottom w:val="nil"/>
              <w:right w:val="nil"/>
            </w:tcBorders>
            <w:shd w:val="clear" w:color="auto" w:fill="auto"/>
            <w:noWrap/>
            <w:vAlign w:val="bottom"/>
            <w:hideMark/>
          </w:tcPr>
          <w:p w:rsidR="00A26DCD" w:rsidRPr="00A26DCD" w:rsidRDefault="00824DB8" w:rsidP="00824DB8">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996BFF">
              <w:rPr>
                <w:rFonts w:ascii="Calibri" w:eastAsia="Times New Roman" w:hAnsi="Calibri" w:cs="Calibri"/>
                <w:color w:val="000000"/>
              </w:rPr>
              <w:t>20,404,346</w:t>
            </w:r>
          </w:p>
        </w:tc>
      </w:tr>
      <w:tr w:rsidR="00A26DCD" w:rsidRPr="00A26DCD" w:rsidTr="00824DB8">
        <w:trPr>
          <w:trHeight w:val="275"/>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p>
        </w:tc>
        <w:tc>
          <w:tcPr>
            <w:tcW w:w="2808" w:type="dxa"/>
            <w:tcBorders>
              <w:top w:val="single" w:sz="4" w:space="0" w:color="auto"/>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r w:rsidRPr="00A26DCD">
              <w:rPr>
                <w:rFonts w:ascii="Calibri" w:eastAsia="Times New Roman" w:hAnsi="Calibri" w:cs="Calibri"/>
                <w:color w:val="000000"/>
              </w:rPr>
              <w:t xml:space="preserve"> $      </w:t>
            </w:r>
            <w:r>
              <w:rPr>
                <w:rFonts w:ascii="Calibri" w:eastAsia="Times New Roman" w:hAnsi="Calibri" w:cs="Calibri"/>
                <w:color w:val="000000"/>
              </w:rPr>
              <w:t xml:space="preserve">              </w:t>
            </w:r>
            <w:r w:rsidR="00996BFF">
              <w:rPr>
                <w:rFonts w:ascii="Calibri" w:eastAsia="Times New Roman" w:hAnsi="Calibri" w:cs="Calibri"/>
                <w:color w:val="000000"/>
              </w:rPr>
              <w:t xml:space="preserve">  2,712,106,573</w:t>
            </w:r>
            <w:r w:rsidRPr="00A26DCD">
              <w:rPr>
                <w:rFonts w:ascii="Calibri" w:eastAsia="Times New Roman" w:hAnsi="Calibri" w:cs="Calibri"/>
                <w:color w:val="000000"/>
              </w:rPr>
              <w:t xml:space="preserve"> </w:t>
            </w:r>
          </w:p>
        </w:tc>
      </w:tr>
      <w:tr w:rsidR="00A26DCD" w:rsidRPr="00A26DCD" w:rsidTr="00824DB8">
        <w:trPr>
          <w:trHeight w:val="275"/>
        </w:trPr>
        <w:tc>
          <w:tcPr>
            <w:tcW w:w="5762" w:type="dxa"/>
            <w:tcBorders>
              <w:top w:val="nil"/>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p>
        </w:tc>
        <w:tc>
          <w:tcPr>
            <w:tcW w:w="2808" w:type="dxa"/>
            <w:tcBorders>
              <w:top w:val="double" w:sz="6" w:space="0" w:color="auto"/>
              <w:left w:val="nil"/>
              <w:bottom w:val="nil"/>
              <w:right w:val="nil"/>
            </w:tcBorders>
            <w:shd w:val="clear" w:color="auto" w:fill="auto"/>
            <w:noWrap/>
            <w:vAlign w:val="bottom"/>
            <w:hideMark/>
          </w:tcPr>
          <w:p w:rsidR="00A26DCD" w:rsidRPr="00A26DCD" w:rsidRDefault="00A26DCD" w:rsidP="00FE452B">
            <w:pPr>
              <w:spacing w:after="0" w:line="240" w:lineRule="auto"/>
              <w:rPr>
                <w:rFonts w:ascii="Calibri" w:eastAsia="Times New Roman" w:hAnsi="Calibri" w:cs="Calibri"/>
                <w:color w:val="000000"/>
              </w:rPr>
            </w:pPr>
            <w:r w:rsidRPr="00A26DCD">
              <w:rPr>
                <w:rFonts w:ascii="Calibri" w:eastAsia="Times New Roman" w:hAnsi="Calibri" w:cs="Calibri"/>
                <w:color w:val="000000"/>
              </w:rPr>
              <w:t> </w:t>
            </w:r>
          </w:p>
        </w:tc>
      </w:tr>
    </w:tbl>
    <w:p w:rsidR="00824DB8" w:rsidRDefault="00824DB8" w:rsidP="00FE452B">
      <w:pPr>
        <w:spacing w:after="0" w:line="240" w:lineRule="auto"/>
        <w:rPr>
          <w:b/>
          <w:sz w:val="28"/>
          <w:szCs w:val="24"/>
        </w:rPr>
      </w:pPr>
    </w:p>
    <w:p w:rsidR="00996BFF" w:rsidRDefault="00996BFF" w:rsidP="00FE452B">
      <w:pPr>
        <w:spacing w:after="0" w:line="240" w:lineRule="auto"/>
        <w:rPr>
          <w:b/>
          <w:sz w:val="28"/>
          <w:szCs w:val="24"/>
        </w:rPr>
      </w:pPr>
    </w:p>
    <w:p w:rsidR="00086D44" w:rsidRDefault="00086D44" w:rsidP="00FE452B">
      <w:pPr>
        <w:spacing w:after="0" w:line="240" w:lineRule="auto"/>
        <w:rPr>
          <w:b/>
          <w:sz w:val="28"/>
          <w:szCs w:val="24"/>
        </w:rPr>
      </w:pPr>
    </w:p>
    <w:p w:rsidR="00086D44" w:rsidRDefault="00086D44" w:rsidP="00FE452B">
      <w:pPr>
        <w:spacing w:after="0" w:line="240" w:lineRule="auto"/>
        <w:rPr>
          <w:b/>
          <w:sz w:val="28"/>
          <w:szCs w:val="24"/>
        </w:rPr>
      </w:pPr>
    </w:p>
    <w:p w:rsidR="00892A59" w:rsidRPr="00824DB8" w:rsidRDefault="00824DB8" w:rsidP="00FE452B">
      <w:pPr>
        <w:spacing w:after="0" w:line="240" w:lineRule="auto"/>
        <w:rPr>
          <w:b/>
          <w:sz w:val="28"/>
          <w:szCs w:val="24"/>
        </w:rPr>
      </w:pPr>
      <w:r w:rsidRPr="00824DB8">
        <w:rPr>
          <w:b/>
          <w:sz w:val="28"/>
          <w:szCs w:val="24"/>
        </w:rPr>
        <w:t>III) CUENTAS DE ORDEN CONTABLES Y PRESUPUESTARIAS</w:t>
      </w:r>
    </w:p>
    <w:p w:rsidR="00892A59" w:rsidRDefault="00892A59" w:rsidP="00FE452B">
      <w:pPr>
        <w:spacing w:after="0" w:line="240" w:lineRule="auto"/>
      </w:pPr>
    </w:p>
    <w:p w:rsidR="00892A59" w:rsidRDefault="00892A59" w:rsidP="00824DB8">
      <w:pPr>
        <w:spacing w:after="0" w:line="240" w:lineRule="auto"/>
        <w:jc w:val="both"/>
      </w:pPr>
      <w:r>
        <w:t>La cuentas de orden se utilizan para registrar movimientos de valores que no afecten o modifiquen el balance del Organismo, sin embargo, su incorporación en registros es necesaria con fines de recordatorio contable, de control y en general sobre los aspectos administrativos, o bien, para consignar los derechos o responsabilidades contingentes que puedan, o no,</w:t>
      </w:r>
      <w:r w:rsidR="0088709D">
        <w:t xml:space="preserve"> presentarse en el futuro, al 30 de Junio</w:t>
      </w:r>
      <w:r>
        <w:t xml:space="preserve"> de 2016 se integra como sigue:</w:t>
      </w:r>
    </w:p>
    <w:tbl>
      <w:tblPr>
        <w:tblW w:w="8376" w:type="dxa"/>
        <w:tblInd w:w="54" w:type="dxa"/>
        <w:tblCellMar>
          <w:left w:w="70" w:type="dxa"/>
          <w:right w:w="70" w:type="dxa"/>
        </w:tblCellMar>
        <w:tblLook w:val="04A0" w:firstRow="1" w:lastRow="0" w:firstColumn="1" w:lastColumn="0" w:noHBand="0" w:noVBand="1"/>
      </w:tblPr>
      <w:tblGrid>
        <w:gridCol w:w="5593"/>
        <w:gridCol w:w="2783"/>
      </w:tblGrid>
      <w:tr w:rsidR="000A72CA" w:rsidRPr="000A72CA" w:rsidTr="00824DB8">
        <w:trPr>
          <w:trHeight w:val="264"/>
        </w:trPr>
        <w:tc>
          <w:tcPr>
            <w:tcW w:w="5593" w:type="dxa"/>
            <w:tcBorders>
              <w:top w:val="nil"/>
              <w:left w:val="nil"/>
              <w:bottom w:val="nil"/>
              <w:right w:val="nil"/>
            </w:tcBorders>
            <w:shd w:val="clear" w:color="auto" w:fill="auto"/>
            <w:noWrap/>
            <w:vAlign w:val="bottom"/>
            <w:hideMark/>
          </w:tcPr>
          <w:p w:rsidR="000A72CA" w:rsidRPr="000A72CA" w:rsidRDefault="000A72CA" w:rsidP="00FE452B">
            <w:pPr>
              <w:spacing w:after="0" w:line="240" w:lineRule="auto"/>
              <w:rPr>
                <w:rFonts w:ascii="Calibri" w:eastAsia="Times New Roman" w:hAnsi="Calibri" w:cs="Calibri"/>
                <w:color w:val="000000"/>
              </w:rPr>
            </w:pPr>
          </w:p>
        </w:tc>
        <w:tc>
          <w:tcPr>
            <w:tcW w:w="2783" w:type="dxa"/>
            <w:tcBorders>
              <w:top w:val="nil"/>
              <w:left w:val="nil"/>
              <w:bottom w:val="nil"/>
              <w:right w:val="nil"/>
            </w:tcBorders>
            <w:shd w:val="clear" w:color="auto" w:fill="auto"/>
            <w:noWrap/>
            <w:vAlign w:val="bottom"/>
            <w:hideMark/>
          </w:tcPr>
          <w:p w:rsidR="000A72CA" w:rsidRPr="000A72CA" w:rsidRDefault="000A72CA" w:rsidP="00824DB8">
            <w:pPr>
              <w:spacing w:after="0" w:line="240" w:lineRule="auto"/>
              <w:rPr>
                <w:rFonts w:ascii="Calibri" w:eastAsia="Times New Roman" w:hAnsi="Calibri" w:cs="Calibri"/>
                <w:b/>
                <w:bCs/>
                <w:color w:val="000000"/>
              </w:rPr>
            </w:pPr>
          </w:p>
        </w:tc>
      </w:tr>
      <w:tr w:rsidR="000A72CA" w:rsidRPr="000A72CA" w:rsidTr="00824DB8">
        <w:trPr>
          <w:trHeight w:val="264"/>
        </w:trPr>
        <w:tc>
          <w:tcPr>
            <w:tcW w:w="5593" w:type="dxa"/>
            <w:tcBorders>
              <w:top w:val="nil"/>
              <w:left w:val="nil"/>
              <w:bottom w:val="nil"/>
              <w:right w:val="nil"/>
            </w:tcBorders>
            <w:shd w:val="clear" w:color="auto" w:fill="auto"/>
            <w:noWrap/>
            <w:vAlign w:val="bottom"/>
            <w:hideMark/>
          </w:tcPr>
          <w:p w:rsidR="000A72CA" w:rsidRPr="000A72CA" w:rsidRDefault="000A72CA" w:rsidP="00FE452B">
            <w:pPr>
              <w:spacing w:before="100" w:beforeAutospacing="1" w:after="0" w:line="240" w:lineRule="auto"/>
              <w:rPr>
                <w:rFonts w:ascii="Calibri" w:eastAsia="Times New Roman" w:hAnsi="Calibri" w:cs="Calibri"/>
                <w:color w:val="000000"/>
              </w:rPr>
            </w:pPr>
            <w:r w:rsidRPr="000A72CA">
              <w:rPr>
                <w:rFonts w:ascii="Calibri" w:eastAsia="Times New Roman" w:hAnsi="Calibri" w:cs="Calibri"/>
                <w:b/>
                <w:color w:val="000000"/>
              </w:rPr>
              <w:t>Cuentas de orden contables</w:t>
            </w:r>
            <w:r w:rsidRPr="000A72CA">
              <w:rPr>
                <w:rFonts w:ascii="Calibri" w:eastAsia="Times New Roman" w:hAnsi="Calibri" w:cs="Calibri"/>
                <w:color w:val="000000"/>
              </w:rPr>
              <w:t>:</w:t>
            </w:r>
          </w:p>
        </w:tc>
        <w:tc>
          <w:tcPr>
            <w:tcW w:w="2783" w:type="dxa"/>
            <w:tcBorders>
              <w:top w:val="nil"/>
              <w:left w:val="nil"/>
              <w:bottom w:val="nil"/>
              <w:right w:val="nil"/>
            </w:tcBorders>
            <w:shd w:val="clear" w:color="auto" w:fill="auto"/>
            <w:noWrap/>
            <w:vAlign w:val="bottom"/>
            <w:hideMark/>
          </w:tcPr>
          <w:p w:rsidR="000A72CA" w:rsidRPr="000A72CA" w:rsidRDefault="000A72CA" w:rsidP="00FE452B">
            <w:pPr>
              <w:spacing w:before="100" w:beforeAutospacing="1" w:after="0" w:line="240" w:lineRule="auto"/>
              <w:rPr>
                <w:rFonts w:ascii="Calibri" w:eastAsia="Times New Roman" w:hAnsi="Calibri" w:cs="Calibri"/>
                <w:color w:val="000000"/>
              </w:rPr>
            </w:pPr>
          </w:p>
        </w:tc>
      </w:tr>
      <w:tr w:rsidR="000A72CA" w:rsidRPr="000A72CA" w:rsidTr="00824DB8">
        <w:trPr>
          <w:trHeight w:val="264"/>
        </w:trPr>
        <w:tc>
          <w:tcPr>
            <w:tcW w:w="5593" w:type="dxa"/>
            <w:tcBorders>
              <w:top w:val="nil"/>
              <w:left w:val="nil"/>
              <w:bottom w:val="nil"/>
              <w:right w:val="nil"/>
            </w:tcBorders>
            <w:shd w:val="clear" w:color="auto" w:fill="auto"/>
            <w:noWrap/>
            <w:vAlign w:val="bottom"/>
            <w:hideMark/>
          </w:tcPr>
          <w:p w:rsidR="000A72CA" w:rsidRPr="000A72CA" w:rsidRDefault="000A72CA" w:rsidP="00FE452B">
            <w:pPr>
              <w:spacing w:before="100" w:beforeAutospacing="1" w:after="0" w:line="240" w:lineRule="auto"/>
              <w:rPr>
                <w:rFonts w:ascii="Calibri" w:eastAsia="Times New Roman" w:hAnsi="Calibri" w:cs="Calibri"/>
                <w:color w:val="000000"/>
              </w:rPr>
            </w:pPr>
            <w:r w:rsidRPr="000A72CA">
              <w:rPr>
                <w:rFonts w:ascii="Calibri" w:eastAsia="Times New Roman" w:hAnsi="Calibri" w:cs="Calibri"/>
                <w:color w:val="000000"/>
              </w:rPr>
              <w:t>Bienes bajo contrato en comodato</w:t>
            </w:r>
          </w:p>
        </w:tc>
        <w:tc>
          <w:tcPr>
            <w:tcW w:w="2783" w:type="dxa"/>
            <w:tcBorders>
              <w:top w:val="nil"/>
              <w:left w:val="nil"/>
              <w:bottom w:val="nil"/>
              <w:right w:val="nil"/>
            </w:tcBorders>
            <w:shd w:val="clear" w:color="auto" w:fill="auto"/>
            <w:noWrap/>
            <w:vAlign w:val="bottom"/>
            <w:hideMark/>
          </w:tcPr>
          <w:p w:rsidR="000A72CA" w:rsidRPr="000A72CA" w:rsidRDefault="000A72CA" w:rsidP="00824DB8">
            <w:pPr>
              <w:spacing w:before="100" w:beforeAutospacing="1" w:after="0" w:line="240" w:lineRule="auto"/>
              <w:rPr>
                <w:rFonts w:ascii="Calibri" w:eastAsia="Times New Roman" w:hAnsi="Calibri" w:cs="Calibri"/>
                <w:color w:val="000000"/>
              </w:rPr>
            </w:pPr>
            <w:r w:rsidRPr="000A72CA">
              <w:rPr>
                <w:rFonts w:ascii="Calibri" w:eastAsia="Times New Roman" w:hAnsi="Calibri" w:cs="Calibri"/>
                <w:color w:val="000000"/>
              </w:rPr>
              <w:t xml:space="preserve"> $              </w:t>
            </w:r>
            <w:r>
              <w:rPr>
                <w:rFonts w:ascii="Calibri" w:eastAsia="Times New Roman" w:hAnsi="Calibri" w:cs="Calibri"/>
                <w:color w:val="000000"/>
              </w:rPr>
              <w:t xml:space="preserve">             </w:t>
            </w:r>
            <w:r w:rsidRPr="000A72CA">
              <w:rPr>
                <w:rFonts w:ascii="Calibri" w:eastAsia="Times New Roman" w:hAnsi="Calibri" w:cs="Calibri"/>
                <w:color w:val="000000"/>
              </w:rPr>
              <w:t xml:space="preserve">  1,184,031 </w:t>
            </w:r>
          </w:p>
        </w:tc>
      </w:tr>
      <w:tr w:rsidR="000A72CA" w:rsidRPr="000A72CA" w:rsidTr="00824DB8">
        <w:trPr>
          <w:trHeight w:val="264"/>
        </w:trPr>
        <w:tc>
          <w:tcPr>
            <w:tcW w:w="5593" w:type="dxa"/>
            <w:tcBorders>
              <w:top w:val="nil"/>
              <w:left w:val="nil"/>
              <w:bottom w:val="nil"/>
              <w:right w:val="nil"/>
            </w:tcBorders>
            <w:shd w:val="clear" w:color="auto" w:fill="auto"/>
            <w:noWrap/>
            <w:vAlign w:val="bottom"/>
            <w:hideMark/>
          </w:tcPr>
          <w:p w:rsidR="000A72CA" w:rsidRPr="000A72CA" w:rsidRDefault="000A72CA" w:rsidP="00FE452B">
            <w:pPr>
              <w:spacing w:before="100" w:beforeAutospacing="1" w:after="0" w:line="240" w:lineRule="auto"/>
              <w:rPr>
                <w:rFonts w:ascii="Calibri" w:eastAsia="Times New Roman" w:hAnsi="Calibri" w:cs="Calibri"/>
                <w:color w:val="000000"/>
              </w:rPr>
            </w:pPr>
            <w:r w:rsidRPr="000A72CA">
              <w:rPr>
                <w:rFonts w:ascii="Calibri" w:eastAsia="Times New Roman" w:hAnsi="Calibri" w:cs="Calibri"/>
                <w:color w:val="000000"/>
              </w:rPr>
              <w:t>Pensiones pasivo contingente</w:t>
            </w:r>
          </w:p>
        </w:tc>
        <w:tc>
          <w:tcPr>
            <w:tcW w:w="2783" w:type="dxa"/>
            <w:tcBorders>
              <w:top w:val="nil"/>
              <w:left w:val="nil"/>
              <w:bottom w:val="nil"/>
              <w:right w:val="nil"/>
            </w:tcBorders>
            <w:shd w:val="clear" w:color="auto" w:fill="auto"/>
            <w:noWrap/>
            <w:vAlign w:val="bottom"/>
            <w:hideMark/>
          </w:tcPr>
          <w:p w:rsidR="000A72CA" w:rsidRPr="000A72CA" w:rsidRDefault="00824DB8" w:rsidP="00824DB8">
            <w:pPr>
              <w:spacing w:before="100" w:beforeAutospacing="1"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0A72CA" w:rsidRPr="000A72CA">
              <w:rPr>
                <w:rFonts w:ascii="Calibri" w:eastAsia="Times New Roman" w:hAnsi="Calibri" w:cs="Calibri"/>
                <w:color w:val="000000"/>
              </w:rPr>
              <w:t>49,097,931,440</w:t>
            </w:r>
          </w:p>
        </w:tc>
      </w:tr>
      <w:tr w:rsidR="000A72CA" w:rsidRPr="000A72CA" w:rsidTr="00824DB8">
        <w:trPr>
          <w:trHeight w:val="275"/>
        </w:trPr>
        <w:tc>
          <w:tcPr>
            <w:tcW w:w="5593" w:type="dxa"/>
            <w:tcBorders>
              <w:top w:val="nil"/>
              <w:left w:val="nil"/>
              <w:bottom w:val="nil"/>
              <w:right w:val="nil"/>
            </w:tcBorders>
            <w:shd w:val="clear" w:color="auto" w:fill="auto"/>
            <w:noWrap/>
            <w:vAlign w:val="bottom"/>
            <w:hideMark/>
          </w:tcPr>
          <w:p w:rsidR="000A72CA" w:rsidRPr="000A72CA" w:rsidRDefault="000A72CA" w:rsidP="00FE452B">
            <w:pPr>
              <w:spacing w:before="100" w:beforeAutospacing="1" w:after="0" w:line="240" w:lineRule="auto"/>
              <w:rPr>
                <w:rFonts w:ascii="Calibri" w:eastAsia="Times New Roman" w:hAnsi="Calibri" w:cs="Calibri"/>
                <w:color w:val="000000"/>
              </w:rPr>
            </w:pPr>
          </w:p>
        </w:tc>
        <w:tc>
          <w:tcPr>
            <w:tcW w:w="2783" w:type="dxa"/>
            <w:tcBorders>
              <w:top w:val="single" w:sz="4" w:space="0" w:color="auto"/>
              <w:left w:val="nil"/>
              <w:bottom w:val="double" w:sz="6" w:space="0" w:color="auto"/>
              <w:right w:val="nil"/>
            </w:tcBorders>
            <w:shd w:val="clear" w:color="auto" w:fill="auto"/>
            <w:noWrap/>
            <w:vAlign w:val="bottom"/>
            <w:hideMark/>
          </w:tcPr>
          <w:p w:rsidR="000A72CA" w:rsidRPr="000A72CA" w:rsidRDefault="000A72CA" w:rsidP="00824DB8">
            <w:pPr>
              <w:spacing w:before="100" w:beforeAutospacing="1" w:after="0" w:line="240" w:lineRule="auto"/>
              <w:rPr>
                <w:rFonts w:ascii="Calibri" w:eastAsia="Times New Roman" w:hAnsi="Calibri" w:cs="Calibri"/>
                <w:color w:val="000000"/>
              </w:rPr>
            </w:pPr>
            <w:r w:rsidRPr="000A72CA">
              <w:rPr>
                <w:rFonts w:ascii="Calibri" w:eastAsia="Times New Roman" w:hAnsi="Calibri" w:cs="Calibri"/>
                <w:color w:val="000000"/>
              </w:rPr>
              <w:t xml:space="preserve"> $     </w:t>
            </w:r>
            <w:r>
              <w:rPr>
                <w:rFonts w:ascii="Calibri" w:eastAsia="Times New Roman" w:hAnsi="Calibri" w:cs="Calibri"/>
                <w:color w:val="000000"/>
              </w:rPr>
              <w:t xml:space="preserve">             </w:t>
            </w:r>
            <w:r w:rsidR="00824DB8">
              <w:rPr>
                <w:rFonts w:ascii="Calibri" w:eastAsia="Times New Roman" w:hAnsi="Calibri" w:cs="Calibri"/>
                <w:color w:val="000000"/>
              </w:rPr>
              <w:t xml:space="preserve"> </w:t>
            </w:r>
            <w:r w:rsidRPr="000A72CA">
              <w:rPr>
                <w:rFonts w:ascii="Calibri" w:eastAsia="Times New Roman" w:hAnsi="Calibri" w:cs="Calibri"/>
                <w:color w:val="000000"/>
              </w:rPr>
              <w:t xml:space="preserve"> 49,099,115,471 </w:t>
            </w:r>
          </w:p>
        </w:tc>
      </w:tr>
    </w:tbl>
    <w:p w:rsidR="00086D44" w:rsidRDefault="00086D44" w:rsidP="00824DB8">
      <w:pPr>
        <w:spacing w:after="0" w:line="240" w:lineRule="auto"/>
      </w:pPr>
    </w:p>
    <w:p w:rsidR="00824DB8" w:rsidRPr="00852089" w:rsidRDefault="00824DB8" w:rsidP="00824DB8">
      <w:pPr>
        <w:spacing w:after="0" w:line="240" w:lineRule="auto"/>
        <w:rPr>
          <w:b/>
          <w:sz w:val="28"/>
          <w:szCs w:val="24"/>
        </w:rPr>
      </w:pPr>
      <w:r w:rsidRPr="00852089">
        <w:rPr>
          <w:b/>
          <w:sz w:val="28"/>
          <w:szCs w:val="24"/>
        </w:rPr>
        <w:t>IV) NOTAS DE GESTIÓN ADMINISTRATIVA</w:t>
      </w:r>
    </w:p>
    <w:p w:rsidR="003A0CD5" w:rsidRPr="00852089" w:rsidRDefault="003A0CD5" w:rsidP="00824DB8">
      <w:pPr>
        <w:spacing w:after="0" w:line="240" w:lineRule="auto"/>
        <w:rPr>
          <w:b/>
          <w:sz w:val="28"/>
          <w:szCs w:val="24"/>
        </w:rPr>
      </w:pPr>
    </w:p>
    <w:p w:rsidR="003A0CD5" w:rsidRPr="00852089" w:rsidRDefault="003A0CD5" w:rsidP="003A0CD5">
      <w:pPr>
        <w:spacing w:after="0" w:line="240" w:lineRule="auto"/>
        <w:rPr>
          <w:rFonts w:eastAsia="Times New Roman" w:cs="Arial"/>
          <w:b/>
          <w:sz w:val="24"/>
          <w:szCs w:val="24"/>
          <w:lang w:val="es-ES" w:eastAsia="es-ES"/>
        </w:rPr>
      </w:pPr>
      <w:r w:rsidRPr="00852089">
        <w:rPr>
          <w:rFonts w:eastAsia="Times New Roman" w:cs="Arial"/>
          <w:b/>
          <w:sz w:val="24"/>
          <w:szCs w:val="24"/>
          <w:lang w:val="es-ES" w:eastAsia="es-ES"/>
        </w:rPr>
        <w:t>1. Panorama económico y financiero</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El Instituto de Seguridad y Servicios Sociales de los Trabajadores del Estado de Sonora, está constituido por cuotas y aportaciones que recibe del gobierno del estado, organismos y Ayuntamientos afiliados con base en los sueldos reportados, el 97% corresponde a transferencias al Sector Público y el resto corresponde a otros ingresos obtenidos por el Instituto. El Gobierno del Estado, organismos y Ayuntamientos afiliados al Instituto están obligados conforme a la nueva ley a enviar a dicho Instituto las nóminas de su personal para efectos de determinar las cuotas y aportaciones respectivas.</w:t>
      </w:r>
    </w:p>
    <w:p w:rsidR="003A0CD5" w:rsidRPr="00852089" w:rsidRDefault="003A0CD5" w:rsidP="003A0CD5">
      <w:pPr>
        <w:spacing w:after="0" w:line="240" w:lineRule="auto"/>
        <w:rPr>
          <w:rFonts w:eastAsia="Times New Roman" w:cs="Arial"/>
          <w:b/>
          <w:sz w:val="24"/>
          <w:szCs w:val="24"/>
          <w:lang w:val="es-ES" w:eastAsia="es-ES"/>
        </w:rPr>
      </w:pPr>
    </w:p>
    <w:p w:rsidR="003A0CD5" w:rsidRPr="00852089" w:rsidRDefault="003A0CD5" w:rsidP="003A0CD5">
      <w:pPr>
        <w:spacing w:after="0" w:line="240" w:lineRule="auto"/>
        <w:rPr>
          <w:rFonts w:eastAsia="Times New Roman" w:cs="Arial"/>
          <w:b/>
          <w:sz w:val="24"/>
          <w:szCs w:val="24"/>
          <w:lang w:val="es-ES" w:eastAsia="es-ES"/>
        </w:rPr>
      </w:pPr>
      <w:r w:rsidRPr="00852089">
        <w:rPr>
          <w:rFonts w:eastAsia="Times New Roman" w:cs="Arial"/>
          <w:b/>
          <w:sz w:val="24"/>
          <w:szCs w:val="24"/>
          <w:lang w:val="es-ES" w:eastAsia="es-ES"/>
        </w:rPr>
        <w:lastRenderedPageBreak/>
        <w:t>2. Autorización e Historia</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El Instituto de Seguridad y Servicios Sociales de los Trabajadores del Estado de Sonora, es un Organismo Público Descentralizado de la Secretaría de Salud, con personalidad jurídica y patrimonio propio, los orígenes legales de este organismo inician con la promulgación de la Ley Número 112, publicada el 20 de Diciembre de 1948, en la que se estableció el “Fondo de Protección Burocrática”; misma Ley que fue modificada al publicarse la Ley Número 5, el 19 de Noviembre de 1949, con la cual se instituye la Dirección de Pensiones del Estado. El 31 de Diciembre de 1962, con la expedición y publicación de la Ley 38, la antigua Dirección de Pensiones del Estado se transforma, dando origen a su actual denominación como Instituto de Seguridad y Servicios Sociales de los Trabajadores del Estado de Sonora (ISSSTESON).</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Finalmente el 28 de junio del 2005, es aprobado por el H. Congreso del Estado el decreto que reforma, adiciona y deroga diversas disposiciones de la Ley 38; el cual se publicó en el Boletín Oficial del Gobierno del Estado, Tomo CLXXV, Edición Especial No. 3, del miércoles 29 de junio, año 2005.</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Los estados financieros adjuntos y sus notas fueron autorizados por la Subdirección de Finanzas para su emisión y aprobación en la Junta Directiva, mediante acuerdo número 6.11, derivado del acta 622, celebrada el día 07 de abril de 2015.</w:t>
      </w:r>
    </w:p>
    <w:p w:rsidR="003A0CD5" w:rsidRPr="00852089" w:rsidRDefault="003A0CD5" w:rsidP="003A0CD5">
      <w:pPr>
        <w:spacing w:after="0" w:line="240" w:lineRule="auto"/>
        <w:rPr>
          <w:rFonts w:eastAsia="Times New Roman" w:cs="Arial"/>
          <w:b/>
          <w:sz w:val="24"/>
          <w:szCs w:val="24"/>
          <w:lang w:val="es-ES" w:eastAsia="es-ES"/>
        </w:rPr>
      </w:pPr>
    </w:p>
    <w:p w:rsidR="003A0CD5" w:rsidRPr="00852089" w:rsidRDefault="003A0CD5" w:rsidP="003A0CD5">
      <w:pPr>
        <w:spacing w:after="0" w:line="240" w:lineRule="auto"/>
        <w:rPr>
          <w:rFonts w:eastAsia="Times New Roman" w:cs="Arial"/>
          <w:b/>
          <w:sz w:val="24"/>
          <w:szCs w:val="24"/>
          <w:lang w:val="es-ES" w:eastAsia="es-ES"/>
        </w:rPr>
      </w:pPr>
      <w:r w:rsidRPr="00852089">
        <w:rPr>
          <w:rFonts w:eastAsia="Times New Roman" w:cs="Arial"/>
          <w:b/>
          <w:sz w:val="24"/>
          <w:szCs w:val="24"/>
          <w:lang w:val="es-ES" w:eastAsia="es-ES"/>
        </w:rPr>
        <w:t>3. Organización y objeto social</w:t>
      </w:r>
    </w:p>
    <w:p w:rsidR="003A0CD5" w:rsidRPr="00852089" w:rsidRDefault="003A0CD5" w:rsidP="003A0CD5">
      <w:pPr>
        <w:spacing w:after="0" w:line="240" w:lineRule="auto"/>
        <w:rPr>
          <w:rFonts w:eastAsia="Times New Roman" w:cs="Arial"/>
          <w:b/>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La Entidad tiene como objetivo principal proporcionar servicios de salud y prestaciones se seguridad social a nuestros derechohabientes con apego en lo establecido en la ley 38 reformada, con un sentido solidario y humanista, y en las mejores condiciones de calidad, oportunidad y seguridad. </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La Entidad no es contribuyente del Impuesto Sobre la Renta, sin embargo es responsable solidario por la retención y entero de los impuestos que correspondan cuando haga pagos a terceros por concepto de honorarios, arrendamientos, remuneraciones al personal entre otros. También tiene obligación de exigir documentos que reúnan requisitos fiscales cuando estén obligados a ellos en los términos de la Ley del ISR.</w:t>
      </w:r>
    </w:p>
    <w:p w:rsidR="003A0CD5" w:rsidRPr="00852089" w:rsidRDefault="003A0CD5" w:rsidP="003A0CD5">
      <w:pPr>
        <w:spacing w:after="0" w:line="240" w:lineRule="auto"/>
        <w:rPr>
          <w:rFonts w:eastAsia="Times New Roman" w:cs="Arial"/>
          <w:b/>
          <w:sz w:val="24"/>
          <w:szCs w:val="24"/>
          <w:lang w:val="es-ES" w:eastAsia="es-ES"/>
        </w:rPr>
      </w:pPr>
    </w:p>
    <w:p w:rsidR="003A0CD5" w:rsidRPr="00852089" w:rsidRDefault="003A0CD5" w:rsidP="003A0CD5">
      <w:pPr>
        <w:spacing w:after="0" w:line="240" w:lineRule="auto"/>
        <w:rPr>
          <w:rFonts w:eastAsia="Times New Roman" w:cs="Arial"/>
          <w:b/>
          <w:sz w:val="24"/>
          <w:szCs w:val="24"/>
          <w:lang w:val="es-ES" w:eastAsia="es-ES"/>
        </w:rPr>
      </w:pPr>
      <w:r w:rsidRPr="00852089">
        <w:rPr>
          <w:rFonts w:eastAsia="Times New Roman" w:cs="Arial"/>
          <w:b/>
          <w:sz w:val="24"/>
          <w:szCs w:val="24"/>
          <w:lang w:val="es-ES" w:eastAsia="es-ES"/>
        </w:rPr>
        <w:t>4. Bases de preparación de los Estados Financieros</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Los estados financieros adjuntos del Instituto de Seguridad y Servicios Sociales de los Trabajadores del Estado de Sonora se prepararon de conformidad con las siguientes disposiciones normativas que le son aplicables en su carácter de Organismo Público descentralizados con personalidad jurídica y patrimonio propio, del Gobierno del Estado de</w:t>
      </w:r>
      <w:r w:rsidR="00B460CA">
        <w:rPr>
          <w:rFonts w:eastAsia="Times New Roman" w:cs="Arial"/>
          <w:sz w:val="24"/>
          <w:szCs w:val="24"/>
          <w:lang w:val="es-ES" w:eastAsia="es-ES"/>
        </w:rPr>
        <w:t xml:space="preserve"> </w:t>
      </w:r>
      <w:r w:rsidRPr="00852089">
        <w:rPr>
          <w:rFonts w:eastAsia="Times New Roman" w:cs="Arial"/>
          <w:sz w:val="24"/>
          <w:szCs w:val="24"/>
          <w:lang w:val="es-ES" w:eastAsia="es-ES"/>
        </w:rPr>
        <w:t>Sonora:</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a). Las disposiciones vigentes de la Ley General de Contabilidad Gubernamental (LGCG).</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b). Los postulados básicos de Contabilidad Gubernamental.</w:t>
      </w:r>
    </w:p>
    <w:p w:rsidR="003A0CD5" w:rsidRPr="00852089" w:rsidRDefault="003A0CD5" w:rsidP="003A0CD5">
      <w:pPr>
        <w:spacing w:after="0" w:line="240" w:lineRule="auto"/>
        <w:jc w:val="both"/>
        <w:rPr>
          <w:rFonts w:eastAsia="Times New Roman" w:cs="Arial"/>
          <w:sz w:val="24"/>
          <w:szCs w:val="24"/>
          <w:lang w:val="es-ES" w:eastAsia="es-ES"/>
        </w:rPr>
      </w:pPr>
      <w:proofErr w:type="gramStart"/>
      <w:r w:rsidRPr="00852089">
        <w:rPr>
          <w:rFonts w:eastAsia="Times New Roman" w:cs="Arial"/>
          <w:sz w:val="24"/>
          <w:szCs w:val="24"/>
          <w:lang w:val="es-ES" w:eastAsia="es-ES"/>
        </w:rPr>
        <w:t>c)</w:t>
      </w:r>
      <w:proofErr w:type="gramEnd"/>
      <w:r w:rsidRPr="00852089">
        <w:rPr>
          <w:rFonts w:eastAsia="Times New Roman" w:cs="Arial"/>
          <w:sz w:val="24"/>
          <w:szCs w:val="24"/>
          <w:lang w:val="es-ES" w:eastAsia="es-ES"/>
        </w:rPr>
        <w:t>. Las Normas de Información Financiera emitidas por el Consejo Mexicano de Normas de Información Financiera, A. C. que son aplicadas de manera supletoria.</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lastRenderedPageBreak/>
        <w:t xml:space="preserve">· </w:t>
      </w:r>
      <w:r w:rsidRPr="00852089">
        <w:rPr>
          <w:rFonts w:eastAsia="Times New Roman" w:cs="Arial"/>
          <w:b/>
          <w:sz w:val="24"/>
          <w:szCs w:val="24"/>
          <w:lang w:val="es-ES" w:eastAsia="es-ES"/>
        </w:rPr>
        <w:t>Ley General de Contabilidad Gubernamental (LGCG)</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A partir del 1 de enero de 2009, entró en vigor la Ley General de Contabilidad Gubernamental, la cual tiene como objetivo establecer los criterios generales que rigen la Contabilidad Gubernamental y la emisión de la información financiera de los entes Públicos, con el fin de lograr su adecuada armonización. Para estos efectos y mediante esta Ley se creó el Consejo Nacional de Armonización Contable (CONAC), el cual es un órgano de coordinación para la armonización y que tiene por objeto la emisión de las normas contables y lineamientos para la generación de la información financiera aplicable a entes públicos.   Con la finalidad de dar cumplimiento al objetivo de la armonización contable y establecer los ejercicios sociales en que tendrán aplicación efectiva el conjunto de normas aplicables, el 15 de diciembre de 2010 el CONAC emitió el documento denominado Acuerdo de interpretación sobre las obligaciones establecidas en los artículos transitorios de la LGCG, en el cual se define que las entidades paraestatales del Gobierno Federal y Estatal tienen la obligación a partir del 1 de enero de 2012 de realizar sus registros contables con base acumulativa, apegándose al marco conceptual y los postulados básicos de contabilidad gubernamental, así como a las normas y metodologías que establezcan los momentos contables, los clasificadores y los manuales de contabilidad gubernamental armonizados. Asimismo, a partir de la fecha señalada tienen la obligación de emitir información contable, presupuestaria y programática sobre la base técnica prevista en los documentos técnico – contables mencionados en dicho acuerdo.</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El 3 de mayo de 2013, el CONAC emitió el acta de la segunda reunión 002/CONAC/2013, mediante el cual se amplían los plazos de lo que estipula el artículo 9, facciones XII y XIII, para las obligaciones de Entidades Federativas y sus entes públicos, quedando como sigue:</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Integración automática del ejercicio presupuestario con la operación contable, para el 30 de junio de 2014.</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Realizar los registros contables con base en las reglas de registro y valoración de patrimonio, para el 31 de diciembre de 2014.</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Generación en tiempo real de los estados financieros, para el 30 de junio de 2014.</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Emisión de cuenta pública en los términos acordado por el consejo, para la correspondiente a 2014.</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El acuerdo anterior fue precisado el 8 de agosto de 2013 en el Diario Oficial de la Federación, en donde estipula principalmente lo siguiente:</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Por lo que respecta a realizar los registros contables con base en las reglas de registro y valoración de patrimonio, para el 31 de diciembre de 2014. En este sentido contempla que la extensión del plazo sólo aplica para realizar la conciliación de bienes muebles e inmuebles, así como asignar valor catastral a bienes inmuebles. </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Con base en el Acuerdo por el cual se reforma el Capítulo VII del Manual de Contabilidad Gubernamental, publicado en el Diario Oficial de la Federación de fecha 6 de octubre de </w:t>
      </w:r>
      <w:r w:rsidRPr="00852089">
        <w:rPr>
          <w:rFonts w:eastAsia="Times New Roman" w:cs="Arial"/>
          <w:sz w:val="24"/>
          <w:szCs w:val="24"/>
          <w:lang w:val="es-ES" w:eastAsia="es-ES"/>
        </w:rPr>
        <w:lastRenderedPageBreak/>
        <w:t>2014 por el CONAC, el Organismo siguió los lineamientos para la presentación de los estados financieros, en los cuales se definen los siguientes:</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Estado de situación financiera</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Estado de actividades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Estado de variación en la Hacienda Pública</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Estado de cambios en la situación financiera</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Estado de flujos de efectivo</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Informe sobre pasivos contingentes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Notas a los estados financieros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Estado analítico del activo</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Estado analítico de la deuda y otros pasivos</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rPr>
          <w:rFonts w:eastAsia="Times New Roman" w:cs="Arial"/>
          <w:b/>
          <w:sz w:val="24"/>
          <w:szCs w:val="24"/>
          <w:lang w:val="es-ES" w:eastAsia="es-ES"/>
        </w:rPr>
      </w:pPr>
      <w:r w:rsidRPr="00852089">
        <w:rPr>
          <w:rFonts w:eastAsia="Times New Roman" w:cs="Arial"/>
          <w:b/>
          <w:sz w:val="24"/>
          <w:szCs w:val="24"/>
          <w:lang w:val="es-ES" w:eastAsia="es-ES"/>
        </w:rPr>
        <w:t>5. Resumen de políticas contables significativas</w:t>
      </w:r>
    </w:p>
    <w:p w:rsidR="003A0CD5" w:rsidRPr="00852089" w:rsidRDefault="003A0CD5" w:rsidP="003A0CD5">
      <w:pPr>
        <w:spacing w:after="0" w:line="240" w:lineRule="auto"/>
        <w:rPr>
          <w:rFonts w:eastAsia="Times New Roman" w:cs="Arial"/>
          <w:b/>
          <w:sz w:val="24"/>
          <w:szCs w:val="24"/>
          <w:lang w:val="es-ES" w:eastAsia="es-ES"/>
        </w:rPr>
      </w:pPr>
    </w:p>
    <w:p w:rsidR="00EE3DA8"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A continuación se resumen las políticas de contabilidad más significativas, las cuales han sido aplicadas consistentemente en los años que se presentan a menos que se especifique lo contrario.</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a) Reconocimiento de Ingresos y Egresos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Los ingresos por cuotas y aportaciones se registran cuando se devengan, reconociéndose una cuenta por cobrar a cargo del gobierno, organismos, ayuntamientos y demás organismos afiliados. Los demás ingresos se registran al momento en que se reciben, a excepción de los</w:t>
      </w:r>
      <w:r w:rsidR="00EE3DA8" w:rsidRPr="00852089">
        <w:rPr>
          <w:rFonts w:eastAsia="Times New Roman" w:cs="Arial"/>
          <w:sz w:val="24"/>
          <w:szCs w:val="24"/>
          <w:lang w:val="es-ES" w:eastAsia="es-ES"/>
        </w:rPr>
        <w:t xml:space="preserve"> </w:t>
      </w:r>
      <w:r w:rsidRPr="00852089">
        <w:rPr>
          <w:rFonts w:eastAsia="Times New Roman" w:cs="Arial"/>
          <w:sz w:val="24"/>
          <w:szCs w:val="24"/>
          <w:lang w:val="es-ES" w:eastAsia="es-ES"/>
        </w:rPr>
        <w:t>intereses por créditos otorgados que se registran conforme se devengan mensualmente.</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b) Control presupuestal</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La Entidad a través de su sistema contable controla debidamente sus ingresos y ejercicio presupuestal del gasto, además formula un informe mensual de la situación presupuestal, examinando sus variaciones con respecto al presupuesto autorizado.</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c) Uso de estimaciones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En la preparación de los estados financieros adjuntos, la administración del Instituto ha utilizado estimados y supuestos relacionados con la presentación de activos y pasivos y las revelaciones contingentes. Los resultados que finalmente se obtengan pueden diferir de las estimaciones realizadas.</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d) Efectivo y equivalentes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El efectivo y sus equivalentes están representados principalmente por depósitos bancarios e inversiones en instrumentos de alta liquidez, con vencimientos no mayores a 90 días y se presentan valuadas a su costo de adquisición más intereses ganados, importe que es similar al valor de mercado de esas inversiones. </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Al cierre del ejercicio, el Instituto registra como un pasivo, el sobregiro bancario reflejado en las cuentas bancarias, cuyo saldo antes del registro del sobregiro bancario, se muestra negativo en los registros contables.</w:t>
      </w:r>
    </w:p>
    <w:p w:rsidR="00EE3DA8" w:rsidRPr="00852089" w:rsidRDefault="00EE3DA8" w:rsidP="003A0CD5">
      <w:pPr>
        <w:spacing w:after="0" w:line="240" w:lineRule="auto"/>
        <w:jc w:val="both"/>
        <w:rPr>
          <w:rFonts w:eastAsia="Times New Roman" w:cs="Arial"/>
          <w:i/>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e) Fideicomisos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lastRenderedPageBreak/>
        <w:t>Se registran a su costo de aportación más los rendimientos devengados a la fecha del balance, que es igual a su valor neto estimado de realización. Los intereses ganados se reconocen conforme se devengan con crédito a los resultados del ejercicio.</w:t>
      </w:r>
    </w:p>
    <w:p w:rsidR="00EE3DA8" w:rsidRPr="00852089" w:rsidRDefault="00EE3DA8" w:rsidP="003A0CD5">
      <w:pPr>
        <w:spacing w:after="0" w:line="240" w:lineRule="auto"/>
        <w:jc w:val="both"/>
        <w:rPr>
          <w:rFonts w:eastAsia="Times New Roman" w:cs="Arial"/>
          <w:i/>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f) Inventario</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Los inventario en medicamentos y suministros generales se reconoce al costo histórico de adquisición y se valúa utilizando el método de costos promedios, y son considerados como egresos en el mes en que se consumen.</w:t>
      </w:r>
    </w:p>
    <w:p w:rsidR="00EE3DA8" w:rsidRPr="00852089" w:rsidRDefault="00EE3DA8" w:rsidP="003A0CD5">
      <w:pPr>
        <w:spacing w:after="0" w:line="240" w:lineRule="auto"/>
        <w:jc w:val="both"/>
        <w:rPr>
          <w:rFonts w:eastAsia="Times New Roman" w:cs="Arial"/>
          <w:sz w:val="24"/>
          <w:szCs w:val="24"/>
          <w:lang w:val="es-ES" w:eastAsia="es-ES"/>
        </w:rPr>
      </w:pPr>
    </w:p>
    <w:p w:rsidR="00EE3DA8" w:rsidRPr="00852089" w:rsidRDefault="00EE3DA8" w:rsidP="003A0CD5">
      <w:pPr>
        <w:spacing w:after="0" w:line="240" w:lineRule="auto"/>
        <w:jc w:val="both"/>
        <w:rPr>
          <w:rFonts w:eastAsia="Times New Roman" w:cs="Arial"/>
          <w:sz w:val="24"/>
          <w:szCs w:val="24"/>
          <w:lang w:val="es-ES" w:eastAsia="es-ES"/>
        </w:rPr>
      </w:pP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g) Inmuebles, equipo e instrumental médico</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Los bienes inmuebles, equipo e instrumental médico son registrados a su costo de adquisición.</w:t>
      </w:r>
    </w:p>
    <w:p w:rsidR="00EE3DA8" w:rsidRPr="00852089" w:rsidRDefault="00EE3DA8" w:rsidP="003A0CD5">
      <w:pPr>
        <w:spacing w:after="0" w:line="240" w:lineRule="auto"/>
        <w:jc w:val="both"/>
        <w:rPr>
          <w:rFonts w:eastAsia="Times New Roman" w:cs="Arial"/>
          <w:sz w:val="24"/>
          <w:szCs w:val="24"/>
          <w:lang w:val="es-ES" w:eastAsia="es-ES"/>
        </w:rPr>
      </w:pPr>
    </w:p>
    <w:p w:rsidR="003A0CD5"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Su depreciación se calcula, por el método de línea recta, aplicando las siguientes tasas anuales de depreciación sobre el costo histórico original, de los bienes adquiridos:</w:t>
      </w:r>
    </w:p>
    <w:p w:rsidR="00852089" w:rsidRPr="00852089" w:rsidRDefault="00852089"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Concepto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t>%</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Equipo y aparatos audiovisuales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t>33%</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Equipo de cómputo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00852089">
        <w:rPr>
          <w:rFonts w:eastAsia="Times New Roman" w:cs="Arial"/>
          <w:sz w:val="24"/>
          <w:szCs w:val="24"/>
          <w:lang w:val="es-ES" w:eastAsia="es-ES"/>
        </w:rPr>
        <w:tab/>
      </w:r>
      <w:r w:rsidRPr="00852089">
        <w:rPr>
          <w:rFonts w:eastAsia="Times New Roman" w:cs="Arial"/>
          <w:sz w:val="24"/>
          <w:szCs w:val="24"/>
          <w:lang w:val="es-ES" w:eastAsia="es-ES"/>
        </w:rPr>
        <w:t>33%</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Equipo de Transporte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t>20%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Bienes artísticos y culturales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00852089">
        <w:rPr>
          <w:rFonts w:eastAsia="Times New Roman" w:cs="Arial"/>
          <w:sz w:val="24"/>
          <w:szCs w:val="24"/>
          <w:lang w:val="es-ES" w:eastAsia="es-ES"/>
        </w:rPr>
        <w:tab/>
      </w:r>
      <w:r w:rsidRPr="00852089">
        <w:rPr>
          <w:rFonts w:eastAsia="Times New Roman" w:cs="Arial"/>
          <w:sz w:val="24"/>
          <w:szCs w:val="24"/>
          <w:lang w:val="es-ES" w:eastAsia="es-ES"/>
        </w:rPr>
        <w:t>20%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Equipo médico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t>20%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Instrumental médico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00852089">
        <w:rPr>
          <w:rFonts w:eastAsia="Times New Roman" w:cs="Arial"/>
          <w:sz w:val="24"/>
          <w:szCs w:val="24"/>
          <w:lang w:val="es-ES" w:eastAsia="es-ES"/>
        </w:rPr>
        <w:tab/>
      </w:r>
      <w:r w:rsidRPr="00852089">
        <w:rPr>
          <w:rFonts w:eastAsia="Times New Roman" w:cs="Arial"/>
          <w:sz w:val="24"/>
          <w:szCs w:val="24"/>
          <w:lang w:val="es-ES" w:eastAsia="es-ES"/>
        </w:rPr>
        <w:t>20%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Maquinaria y equipo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00852089">
        <w:rPr>
          <w:rFonts w:eastAsia="Times New Roman" w:cs="Arial"/>
          <w:sz w:val="24"/>
          <w:szCs w:val="24"/>
          <w:lang w:val="es-ES" w:eastAsia="es-ES"/>
        </w:rPr>
        <w:tab/>
      </w:r>
      <w:r w:rsidRPr="00852089">
        <w:rPr>
          <w:rFonts w:eastAsia="Times New Roman" w:cs="Arial"/>
          <w:sz w:val="24"/>
          <w:szCs w:val="24"/>
          <w:lang w:val="es-ES" w:eastAsia="es-ES"/>
        </w:rPr>
        <w:t>10%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Equipos y aparatos de comunicación y telecomunicación</w:t>
      </w:r>
      <w:r w:rsidR="00852089">
        <w:rPr>
          <w:rFonts w:eastAsia="Times New Roman" w:cs="Arial"/>
          <w:sz w:val="24"/>
          <w:szCs w:val="24"/>
          <w:lang w:val="es-ES" w:eastAsia="es-ES"/>
        </w:rPr>
        <w:tab/>
      </w:r>
      <w:r w:rsidRPr="00852089">
        <w:rPr>
          <w:rFonts w:eastAsia="Times New Roman" w:cs="Arial"/>
          <w:sz w:val="24"/>
          <w:szCs w:val="24"/>
          <w:lang w:val="es-ES" w:eastAsia="es-ES"/>
        </w:rPr>
        <w:t xml:space="preserve"> </w:t>
      </w:r>
      <w:r w:rsidRPr="00852089">
        <w:rPr>
          <w:rFonts w:eastAsia="Times New Roman" w:cs="Arial"/>
          <w:sz w:val="24"/>
          <w:szCs w:val="24"/>
          <w:lang w:val="es-ES" w:eastAsia="es-ES"/>
        </w:rPr>
        <w:tab/>
        <w:t>10%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Bienes muebles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t>10%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Herramientas y refacciones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00852089">
        <w:rPr>
          <w:rFonts w:eastAsia="Times New Roman" w:cs="Arial"/>
          <w:sz w:val="24"/>
          <w:szCs w:val="24"/>
          <w:lang w:val="es-ES" w:eastAsia="es-ES"/>
        </w:rPr>
        <w:tab/>
      </w:r>
      <w:r w:rsidRPr="00852089">
        <w:rPr>
          <w:rFonts w:eastAsia="Times New Roman" w:cs="Arial"/>
          <w:sz w:val="24"/>
          <w:szCs w:val="24"/>
          <w:lang w:val="es-ES" w:eastAsia="es-ES"/>
        </w:rPr>
        <w:t>10%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Maquinaria y equipo eléctrico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t>10%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Mobiliario y equipo de refrigeración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t>10%</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Mobiliario y equipo de oficina </w:t>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r>
      <w:r w:rsidRPr="00852089">
        <w:rPr>
          <w:rFonts w:eastAsia="Times New Roman" w:cs="Arial"/>
          <w:sz w:val="24"/>
          <w:szCs w:val="24"/>
          <w:lang w:val="es-ES" w:eastAsia="es-ES"/>
        </w:rPr>
        <w:tab/>
        <w:t>10%</w:t>
      </w:r>
    </w:p>
    <w:p w:rsidR="003A0CD5" w:rsidRPr="00852089" w:rsidRDefault="003A0CD5"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En el caso de donaciones de bienes muebles se registran al valor reflejado en el acta de donación. En el caso de inmuebles donados se deberá considerar el valor estipulado en la escritura pública, decreto o acta de donación.</w:t>
      </w:r>
    </w:p>
    <w:p w:rsidR="00EE3DA8" w:rsidRPr="00852089" w:rsidRDefault="00EE3DA8" w:rsidP="003A0CD5">
      <w:pPr>
        <w:spacing w:after="0" w:line="240" w:lineRule="auto"/>
        <w:jc w:val="both"/>
        <w:rPr>
          <w:rFonts w:eastAsia="Times New Roman" w:cs="Arial"/>
          <w:i/>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h) Beneficios a empleados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De conformidad con la Ley del ISSSTESON, el Instituto tiene establecido un plan de pensiones, así como el pago de diversas prestaciones adicionales como son aguinaldo, indemnizaciones, gastos de funeral y pago póstumo a favor de sus trabajadores.</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De acuerdo a lo señalado en la Ley del ISSSTESON, los trabajadores afiliados al Instituto de Seguridad y Servicios Sociales de los Trabajadores del Estado de Sonora, tienen derecho a gozar de un plan de pensiones afectando los resultados del ejercicio en las fechas en que se pagan, de conformidad a lo siguiente: Jubilación Art. 68 Se otorga a los trabajadores con 35 </w:t>
      </w:r>
      <w:r w:rsidRPr="00852089">
        <w:rPr>
          <w:rFonts w:eastAsia="Times New Roman" w:cs="Arial"/>
          <w:sz w:val="24"/>
          <w:szCs w:val="24"/>
          <w:lang w:val="es-ES" w:eastAsia="es-ES"/>
        </w:rPr>
        <w:lastRenderedPageBreak/>
        <w:t>años ó más de servicio y a las trabajadoras con 33 años ó más de servicio, e igual tiempo de cotización al Instituto.</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Vejez Art. 69 Tienen derecho los trabajadores una vez cumplido 55 años de edad y 15 años de servicio e igual tiempo de contribución al Instituto.</w:t>
      </w:r>
    </w:p>
    <w:p w:rsidR="00EE3DA8" w:rsidRPr="00852089" w:rsidRDefault="00EE3DA8" w:rsidP="003A0CD5">
      <w:pPr>
        <w:spacing w:after="0" w:line="240" w:lineRule="auto"/>
        <w:jc w:val="both"/>
        <w:rPr>
          <w:rFonts w:eastAsia="Times New Roman" w:cs="Arial"/>
          <w:sz w:val="24"/>
          <w:szCs w:val="24"/>
          <w:lang w:val="es-ES" w:eastAsia="es-ES"/>
        </w:rPr>
      </w:pP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 xml:space="preserve">Cesantía por edad avanzada </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Art. 69 bis</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Tienen derecho los trabajadores que hubieran cumplido 60 años de edad y 10 años de servicio e igual tiempo de contribución al Instituto.</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Invalidez Art. 76 Se otorga a los trabajadores que se inhabiliten física o mentalmente, por causas ajenas al desempeño de su cargo o empleo, si hubiesen contribuido al Instituto, al menos durante quince años.</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Por muerte Art. 82 La muerte del trabajador por causas ajenas al servicio, cualquiera que sea su edad, y siempre que hubiese contribuido al Instituto al menos durante 10 años, así como la de un pensionado por vejez ó invalidez, darán origen a las pensiones de viudez y de orfandad ó pensiones a los ascendientes, en su caso.</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La política establecida para los Aguinaldos, es de otorgar 50 días, en tres parcialidades, 30 días en la segunda quincena de noviembre; 10 días en la primera quincena de diciembre y los 10 días restantes en la primera quincena de enero, registrándose el gasto en la fecha en que se efectúa su pago.</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El Instituto cubrirá una cuota por concepto de Gastos de Funeral, a sus herederos legítimos o a las personas que se hayan hecho cargo de su inhumación, cuando fallezca un trabajador pensionista al momento de ocurrir el fallecimiento, registrándose el gasto en la fecha en que se efectúa su pago.</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El Instituto cubrirá una cuota por Pago Póstumo, a los beneficiarios que haya designado o a</w:t>
      </w:r>
      <w:r w:rsidR="00EE3DA8" w:rsidRPr="00852089">
        <w:rPr>
          <w:rFonts w:eastAsia="Times New Roman" w:cs="Arial"/>
          <w:sz w:val="24"/>
          <w:szCs w:val="24"/>
          <w:lang w:val="es-ES" w:eastAsia="es-ES"/>
        </w:rPr>
        <w:t xml:space="preserve"> </w:t>
      </w:r>
      <w:r w:rsidRPr="00852089">
        <w:rPr>
          <w:rFonts w:eastAsia="Times New Roman" w:cs="Arial"/>
          <w:sz w:val="24"/>
          <w:szCs w:val="24"/>
          <w:lang w:val="es-ES" w:eastAsia="es-ES"/>
        </w:rPr>
        <w:t>sus herederos legítimos, cuando fallezca un trabajador del Instituto, registrándose el gasto en la fecha en que se efectúa su pago. Si llegara a ocurrir, en cualquier tiempo, que los recursos del Instituto no fuesen suficientes para cumplir con las obligaciones a su cargo establecidas por la Ley del ISSSTESON, el déficit que hubiese, será cubierto por el Estado y organismos incorporados de acuerdo con lo establecido en el Artículo 116 de dicha Ley.</w:t>
      </w:r>
    </w:p>
    <w:p w:rsidR="003A0CD5" w:rsidRPr="00852089" w:rsidRDefault="003A0CD5" w:rsidP="003A0CD5">
      <w:pPr>
        <w:spacing w:after="0" w:line="240" w:lineRule="auto"/>
        <w:jc w:val="both"/>
        <w:rPr>
          <w:rFonts w:eastAsia="Times New Roman" w:cs="Arial"/>
          <w:i/>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i) Régimen fiscal</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De conformidad con el Art. 93 de la Ley del Impuesto sobre la Renta (ISR), el Instituto de Seguridad y Servicios Sociales de los Trabajadores del Estado de Sonora no es contribuyente de este impuesto y solo tiene la obligación en los casos de retención y entero que señala la propia Ley y tratándose de pagos a terceros, exigir la documentación que reúna los requisitos fiscales correspondientes.</w:t>
      </w:r>
    </w:p>
    <w:p w:rsidR="00EE3DA8" w:rsidRPr="00852089" w:rsidRDefault="00EE3DA8"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j) Cuotas plan de pensiones retenidas a los trabajadores afiliados al ISSSTESON</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lastRenderedPageBreak/>
        <w:t>Las cuotas retenidas a los trabajadores afiliados al ISSSTESON desde su inicio y hasta diciembre de 2002, se registraron formando parte del patrimonio del Instituto y se aplican a resultados en la medida en que el personal afiliado se pensiona o solicita la devolución de sus aportaciones.</w:t>
      </w:r>
    </w:p>
    <w:p w:rsidR="00BF67FC" w:rsidRPr="00852089" w:rsidRDefault="00BF67FC"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A partir de 2003, las cuotas retenidas a los trabajadores afiliados al ISSSTESON se reconocen como ingresos.</w:t>
      </w:r>
    </w:p>
    <w:p w:rsidR="00BF67FC" w:rsidRPr="00852089" w:rsidRDefault="00BF67FC" w:rsidP="003A0CD5">
      <w:pPr>
        <w:spacing w:after="0" w:line="240" w:lineRule="auto"/>
        <w:jc w:val="both"/>
        <w:rPr>
          <w:rFonts w:eastAsia="Times New Roman" w:cs="Arial"/>
          <w:sz w:val="24"/>
          <w:szCs w:val="24"/>
          <w:lang w:val="es-ES" w:eastAsia="es-ES"/>
        </w:rPr>
      </w:pPr>
    </w:p>
    <w:p w:rsidR="00BF67FC" w:rsidRPr="00852089" w:rsidRDefault="00BF67FC" w:rsidP="003A0CD5">
      <w:pPr>
        <w:spacing w:after="0" w:line="240" w:lineRule="auto"/>
        <w:jc w:val="both"/>
        <w:rPr>
          <w:rFonts w:eastAsia="Times New Roman" w:cs="Arial"/>
          <w:sz w:val="24"/>
          <w:szCs w:val="24"/>
          <w:lang w:val="es-ES" w:eastAsia="es-ES"/>
        </w:rPr>
      </w:pPr>
    </w:p>
    <w:p w:rsidR="00BF67FC" w:rsidRPr="00852089" w:rsidRDefault="00BF67FC" w:rsidP="003A0CD5">
      <w:pPr>
        <w:spacing w:after="0" w:line="240" w:lineRule="auto"/>
        <w:jc w:val="both"/>
        <w:rPr>
          <w:rFonts w:eastAsia="Times New Roman" w:cs="Arial"/>
          <w:sz w:val="24"/>
          <w:szCs w:val="24"/>
          <w:lang w:val="es-ES" w:eastAsia="es-ES"/>
        </w:rPr>
      </w:pPr>
    </w:p>
    <w:p w:rsidR="003A0CD5" w:rsidRPr="00852089" w:rsidRDefault="003A0CD5" w:rsidP="003A0CD5">
      <w:pPr>
        <w:spacing w:after="0" w:line="240" w:lineRule="auto"/>
        <w:jc w:val="both"/>
        <w:rPr>
          <w:rFonts w:eastAsia="Times New Roman" w:cs="Arial"/>
          <w:i/>
          <w:sz w:val="24"/>
          <w:szCs w:val="24"/>
          <w:lang w:val="es-ES" w:eastAsia="es-ES"/>
        </w:rPr>
      </w:pPr>
      <w:r w:rsidRPr="00852089">
        <w:rPr>
          <w:rFonts w:eastAsia="Times New Roman" w:cs="Arial"/>
          <w:i/>
          <w:sz w:val="24"/>
          <w:szCs w:val="24"/>
          <w:lang w:val="es-ES" w:eastAsia="es-ES"/>
        </w:rPr>
        <w:t>k) Plan de remuneración total</w:t>
      </w:r>
    </w:p>
    <w:p w:rsidR="003A0CD5" w:rsidRPr="00852089" w:rsidRDefault="003A0CD5" w:rsidP="003A0CD5">
      <w:pPr>
        <w:spacing w:after="0" w:line="240" w:lineRule="auto"/>
        <w:jc w:val="both"/>
        <w:rPr>
          <w:rFonts w:eastAsia="Times New Roman" w:cs="Arial"/>
          <w:sz w:val="24"/>
          <w:szCs w:val="24"/>
          <w:lang w:val="es-ES" w:eastAsia="es-ES"/>
        </w:rPr>
      </w:pPr>
      <w:r w:rsidRPr="00852089">
        <w:rPr>
          <w:rFonts w:eastAsia="Times New Roman" w:cs="Arial"/>
          <w:sz w:val="24"/>
          <w:szCs w:val="24"/>
          <w:lang w:val="es-ES" w:eastAsia="es-ES"/>
        </w:rPr>
        <w:t>El Instituto estableció a sus empleados un Plan de Remuneración Total (PRT), el cual se integra de un plan de indemnizaciones, enfermedades y riesgos, así como un plan de previsión social. El PRT, el cual inició el 1° de Enero de 2005, establece que gran parte de las remuneraciones de los empleados de la Entidad se distribuyan a determinados conceptos para considerarse como ingresos no acumulables para el Impuesto Sobre la Renta de los trabajadores. Estos conceptos considerados como no acumulables para el trabajador se refieren a ayuda de despensa, ayuda de habitación, ayuda para energía eléctrica y beneficios por riesgos laborales.</w:t>
      </w:r>
    </w:p>
    <w:p w:rsidR="00824DB8" w:rsidRDefault="009309D2" w:rsidP="00FE452B">
      <w:pPr>
        <w:spacing w:after="0" w:line="240" w:lineRule="auto"/>
        <w:rPr>
          <w:lang w:val="es-ES"/>
        </w:rPr>
      </w:pPr>
      <w:r>
        <w:rPr>
          <w:lang w:val="es-ES"/>
        </w:rPr>
        <w:t xml:space="preserve"> </w:t>
      </w: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p>
    <w:p w:rsidR="00AE0930" w:rsidRDefault="00AE0930" w:rsidP="00FE452B">
      <w:pPr>
        <w:spacing w:after="0" w:line="240" w:lineRule="auto"/>
        <w:rPr>
          <w:lang w:val="es-ES"/>
        </w:rPr>
      </w:pPr>
      <w:r>
        <w:rPr>
          <w:lang w:val="es-ES"/>
        </w:rPr>
        <w:t xml:space="preserve"> ________________________________                                          _______________________________    </w:t>
      </w:r>
    </w:p>
    <w:p w:rsidR="00AE0930" w:rsidRDefault="00AE0930" w:rsidP="00FE452B">
      <w:pPr>
        <w:spacing w:after="0" w:line="240" w:lineRule="auto"/>
        <w:rPr>
          <w:lang w:val="es-ES"/>
        </w:rPr>
      </w:pPr>
      <w:r>
        <w:rPr>
          <w:lang w:val="es-ES"/>
        </w:rPr>
        <w:t xml:space="preserve">  Lic. Javier Alejandro Ortega Guerrero                                             C.P. Norma Lorena Galindo Valenzuela</w:t>
      </w:r>
    </w:p>
    <w:p w:rsidR="00AE0930" w:rsidRDefault="00AE0930" w:rsidP="00FE452B">
      <w:pPr>
        <w:spacing w:after="0" w:line="240" w:lineRule="auto"/>
        <w:rPr>
          <w:lang w:val="es-ES"/>
        </w:rPr>
      </w:pPr>
      <w:r>
        <w:rPr>
          <w:lang w:val="es-ES"/>
        </w:rPr>
        <w:t xml:space="preserve">       </w:t>
      </w:r>
      <w:r w:rsidR="00E24D30">
        <w:rPr>
          <w:lang w:val="es-ES"/>
        </w:rPr>
        <w:t xml:space="preserve">   </w:t>
      </w:r>
      <w:r>
        <w:rPr>
          <w:lang w:val="es-ES"/>
        </w:rPr>
        <w:t xml:space="preserve">  Subdirector de Finanzas                                                                           </w:t>
      </w:r>
      <w:r w:rsidR="00E24D30">
        <w:rPr>
          <w:lang w:val="es-ES"/>
        </w:rPr>
        <w:t xml:space="preserve"> </w:t>
      </w:r>
      <w:r>
        <w:rPr>
          <w:lang w:val="es-ES"/>
        </w:rPr>
        <w:t xml:space="preserve">Contadora General      </w:t>
      </w:r>
    </w:p>
    <w:tbl>
      <w:tblPr>
        <w:tblW w:w="10448" w:type="dxa"/>
        <w:tblInd w:w="70" w:type="dxa"/>
        <w:tblCellMar>
          <w:left w:w="70" w:type="dxa"/>
          <w:right w:w="70" w:type="dxa"/>
        </w:tblCellMar>
        <w:tblLook w:val="04A0" w:firstRow="1" w:lastRow="0" w:firstColumn="1" w:lastColumn="0" w:noHBand="0" w:noVBand="1"/>
      </w:tblPr>
      <w:tblGrid>
        <w:gridCol w:w="6686"/>
        <w:gridCol w:w="146"/>
        <w:gridCol w:w="3616"/>
      </w:tblGrid>
      <w:tr w:rsidR="00AE0930" w:rsidRPr="00AE0930" w:rsidTr="00E1054A">
        <w:trPr>
          <w:trHeight w:val="222"/>
        </w:trPr>
        <w:tc>
          <w:tcPr>
            <w:tcW w:w="6832" w:type="dxa"/>
            <w:gridSpan w:val="2"/>
            <w:tcBorders>
              <w:top w:val="nil"/>
              <w:left w:val="nil"/>
              <w:bottom w:val="nil"/>
              <w:right w:val="nil"/>
            </w:tcBorders>
            <w:shd w:val="clear" w:color="auto" w:fill="auto"/>
            <w:noWrap/>
            <w:vAlign w:val="bottom"/>
            <w:hideMark/>
          </w:tcPr>
          <w:p w:rsidR="00AE0930" w:rsidRPr="00AE0930" w:rsidRDefault="00AE0930" w:rsidP="00AE0930">
            <w:pPr>
              <w:spacing w:after="0" w:line="240" w:lineRule="auto"/>
              <w:rPr>
                <w:rFonts w:ascii="Arial Narrow" w:eastAsia="Times New Roman" w:hAnsi="Arial Narrow" w:cs="Calibri"/>
                <w:color w:val="000000"/>
              </w:rPr>
            </w:pPr>
          </w:p>
        </w:tc>
        <w:tc>
          <w:tcPr>
            <w:tcW w:w="3616" w:type="dxa"/>
            <w:tcBorders>
              <w:top w:val="nil"/>
              <w:left w:val="nil"/>
              <w:bottom w:val="nil"/>
              <w:right w:val="nil"/>
            </w:tcBorders>
            <w:shd w:val="clear" w:color="auto" w:fill="auto"/>
            <w:noWrap/>
            <w:vAlign w:val="bottom"/>
            <w:hideMark/>
          </w:tcPr>
          <w:p w:rsidR="00AE0930" w:rsidRPr="00AE0930" w:rsidRDefault="00AE0930" w:rsidP="00AE0930">
            <w:pPr>
              <w:spacing w:after="0" w:line="240" w:lineRule="auto"/>
              <w:rPr>
                <w:rFonts w:ascii="Arial Narrow" w:eastAsia="Times New Roman" w:hAnsi="Arial Narrow" w:cs="Calibri"/>
                <w:color w:val="000000"/>
              </w:rPr>
            </w:pPr>
          </w:p>
        </w:tc>
      </w:tr>
      <w:tr w:rsidR="00AE0930" w:rsidRPr="00AE0930" w:rsidTr="00E1054A">
        <w:trPr>
          <w:trHeight w:val="222"/>
        </w:trPr>
        <w:tc>
          <w:tcPr>
            <w:tcW w:w="6686" w:type="dxa"/>
            <w:tcBorders>
              <w:top w:val="nil"/>
              <w:left w:val="nil"/>
              <w:bottom w:val="nil"/>
              <w:right w:val="nil"/>
            </w:tcBorders>
            <w:shd w:val="clear" w:color="auto" w:fill="auto"/>
            <w:noWrap/>
            <w:vAlign w:val="bottom"/>
            <w:hideMark/>
          </w:tcPr>
          <w:p w:rsidR="00AE0930" w:rsidRPr="00AE0930" w:rsidRDefault="00AE0930" w:rsidP="00AE0930">
            <w:pPr>
              <w:spacing w:after="0" w:line="240" w:lineRule="auto"/>
              <w:rPr>
                <w:rFonts w:ascii="Arial Narrow" w:eastAsia="Times New Roman" w:hAnsi="Arial Narrow" w:cs="Calibri"/>
                <w:color w:val="000000"/>
              </w:rPr>
            </w:pPr>
          </w:p>
        </w:tc>
        <w:tc>
          <w:tcPr>
            <w:tcW w:w="146" w:type="dxa"/>
            <w:tcBorders>
              <w:top w:val="nil"/>
              <w:left w:val="nil"/>
              <w:bottom w:val="nil"/>
              <w:right w:val="nil"/>
            </w:tcBorders>
            <w:shd w:val="clear" w:color="auto" w:fill="auto"/>
            <w:noWrap/>
            <w:vAlign w:val="bottom"/>
            <w:hideMark/>
          </w:tcPr>
          <w:p w:rsidR="00AE0930" w:rsidRPr="00AE0930" w:rsidRDefault="00AE0930" w:rsidP="00AE0930">
            <w:pPr>
              <w:spacing w:after="0" w:line="240" w:lineRule="auto"/>
              <w:rPr>
                <w:rFonts w:ascii="Arial Narrow" w:eastAsia="Times New Roman" w:hAnsi="Arial Narrow" w:cs="Calibri"/>
                <w:color w:val="000000"/>
              </w:rPr>
            </w:pPr>
          </w:p>
        </w:tc>
        <w:tc>
          <w:tcPr>
            <w:tcW w:w="3616" w:type="dxa"/>
            <w:tcBorders>
              <w:top w:val="nil"/>
              <w:left w:val="nil"/>
              <w:bottom w:val="nil"/>
              <w:right w:val="nil"/>
            </w:tcBorders>
            <w:shd w:val="clear" w:color="auto" w:fill="auto"/>
            <w:noWrap/>
            <w:vAlign w:val="bottom"/>
            <w:hideMark/>
          </w:tcPr>
          <w:p w:rsidR="00AE0930" w:rsidRPr="00AE0930" w:rsidRDefault="00AE0930" w:rsidP="00AE0930">
            <w:pPr>
              <w:spacing w:after="0" w:line="240" w:lineRule="auto"/>
              <w:rPr>
                <w:rFonts w:ascii="Arial Narrow" w:eastAsia="Times New Roman" w:hAnsi="Arial Narrow" w:cs="Calibri"/>
                <w:color w:val="000000"/>
                <w:sz w:val="20"/>
                <w:szCs w:val="20"/>
              </w:rPr>
            </w:pPr>
          </w:p>
        </w:tc>
      </w:tr>
      <w:tr w:rsidR="00AE0930" w:rsidRPr="00AE0930" w:rsidTr="00E1054A">
        <w:trPr>
          <w:trHeight w:val="288"/>
        </w:trPr>
        <w:tc>
          <w:tcPr>
            <w:tcW w:w="6686" w:type="dxa"/>
            <w:tcBorders>
              <w:top w:val="nil"/>
              <w:left w:val="nil"/>
              <w:bottom w:val="nil"/>
              <w:right w:val="nil"/>
            </w:tcBorders>
            <w:shd w:val="clear" w:color="auto" w:fill="auto"/>
            <w:noWrap/>
            <w:vAlign w:val="bottom"/>
            <w:hideMark/>
          </w:tcPr>
          <w:p w:rsidR="00AE0930" w:rsidRPr="00AE0930" w:rsidRDefault="00AE0930" w:rsidP="00AE0930">
            <w:pPr>
              <w:spacing w:after="0" w:line="240" w:lineRule="auto"/>
              <w:rPr>
                <w:rFonts w:ascii="Arial Narrow" w:eastAsia="Times New Roman" w:hAnsi="Arial Narrow" w:cs="Calibri"/>
                <w:color w:val="000000"/>
              </w:rPr>
            </w:pPr>
          </w:p>
        </w:tc>
        <w:tc>
          <w:tcPr>
            <w:tcW w:w="146" w:type="dxa"/>
            <w:tcBorders>
              <w:top w:val="nil"/>
              <w:left w:val="nil"/>
              <w:bottom w:val="nil"/>
              <w:right w:val="nil"/>
            </w:tcBorders>
            <w:shd w:val="clear" w:color="auto" w:fill="auto"/>
            <w:noWrap/>
            <w:vAlign w:val="bottom"/>
            <w:hideMark/>
          </w:tcPr>
          <w:p w:rsidR="00AE0930" w:rsidRPr="00AE0930" w:rsidRDefault="00AE0930" w:rsidP="00AE0930">
            <w:pPr>
              <w:spacing w:after="0" w:line="240" w:lineRule="auto"/>
              <w:rPr>
                <w:rFonts w:ascii="Arial Narrow" w:eastAsia="Times New Roman" w:hAnsi="Arial Narrow" w:cs="Calibri"/>
                <w:color w:val="000000"/>
              </w:rPr>
            </w:pPr>
          </w:p>
        </w:tc>
        <w:tc>
          <w:tcPr>
            <w:tcW w:w="3616" w:type="dxa"/>
            <w:tcBorders>
              <w:top w:val="nil"/>
              <w:left w:val="nil"/>
              <w:bottom w:val="nil"/>
              <w:right w:val="nil"/>
            </w:tcBorders>
            <w:shd w:val="clear" w:color="auto" w:fill="auto"/>
            <w:noWrap/>
            <w:vAlign w:val="bottom"/>
            <w:hideMark/>
          </w:tcPr>
          <w:p w:rsidR="00AE0930" w:rsidRPr="00AE0930" w:rsidRDefault="00AE0930" w:rsidP="00AE0930">
            <w:pPr>
              <w:spacing w:after="0" w:line="240" w:lineRule="auto"/>
              <w:rPr>
                <w:rFonts w:ascii="Arial Narrow" w:eastAsia="Times New Roman" w:hAnsi="Arial Narrow" w:cs="Calibri"/>
                <w:color w:val="000000"/>
              </w:rPr>
            </w:pPr>
          </w:p>
        </w:tc>
      </w:tr>
    </w:tbl>
    <w:p w:rsidR="00AE0930" w:rsidRPr="003A0CD5" w:rsidRDefault="00AE0930" w:rsidP="00FE452B">
      <w:pPr>
        <w:spacing w:after="0" w:line="240" w:lineRule="auto"/>
        <w:rPr>
          <w:lang w:val="es-ES"/>
        </w:rPr>
      </w:pPr>
      <w:bookmarkStart w:id="0" w:name="_GoBack"/>
      <w:bookmarkEnd w:id="0"/>
    </w:p>
    <w:sectPr w:rsidR="00AE0930" w:rsidRPr="003A0CD5" w:rsidSect="00EB1C2D">
      <w:pgSz w:w="12240" w:h="15840"/>
      <w:pgMar w:top="567" w:right="1418"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6" w:rsidRDefault="00D77516" w:rsidP="00131E8F">
      <w:pPr>
        <w:spacing w:after="0" w:line="240" w:lineRule="auto"/>
      </w:pPr>
      <w:r>
        <w:separator/>
      </w:r>
    </w:p>
  </w:endnote>
  <w:endnote w:type="continuationSeparator" w:id="0">
    <w:p w:rsidR="00D77516" w:rsidRDefault="00D77516" w:rsidP="0013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6" w:rsidRDefault="00D77516" w:rsidP="00131E8F">
      <w:pPr>
        <w:spacing w:after="0" w:line="240" w:lineRule="auto"/>
      </w:pPr>
      <w:r>
        <w:separator/>
      </w:r>
    </w:p>
  </w:footnote>
  <w:footnote w:type="continuationSeparator" w:id="0">
    <w:p w:rsidR="00D77516" w:rsidRDefault="00D77516" w:rsidP="00131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646"/>
    <w:multiLevelType w:val="hybridMultilevel"/>
    <w:tmpl w:val="7D907A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0E0C76"/>
    <w:multiLevelType w:val="hybridMultilevel"/>
    <w:tmpl w:val="74C654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72A4ADC"/>
    <w:multiLevelType w:val="hybridMultilevel"/>
    <w:tmpl w:val="A1407EFC"/>
    <w:lvl w:ilvl="0" w:tplc="5150C3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4AFF6A72"/>
    <w:multiLevelType w:val="hybridMultilevel"/>
    <w:tmpl w:val="8362D7D0"/>
    <w:lvl w:ilvl="0" w:tplc="7AE055C2">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653A3A3D"/>
    <w:multiLevelType w:val="hybridMultilevel"/>
    <w:tmpl w:val="2988BD7E"/>
    <w:lvl w:ilvl="0" w:tplc="2984392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681F27F5"/>
    <w:multiLevelType w:val="hybridMultilevel"/>
    <w:tmpl w:val="2EE44A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1E3247"/>
    <w:multiLevelType w:val="hybridMultilevel"/>
    <w:tmpl w:val="992E0D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632470"/>
    <w:multiLevelType w:val="hybridMultilevel"/>
    <w:tmpl w:val="FC9446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756E"/>
    <w:rsid w:val="00066497"/>
    <w:rsid w:val="00086D44"/>
    <w:rsid w:val="000A72CA"/>
    <w:rsid w:val="00102568"/>
    <w:rsid w:val="00131E8F"/>
    <w:rsid w:val="0014398D"/>
    <w:rsid w:val="00191DBE"/>
    <w:rsid w:val="001B6A8B"/>
    <w:rsid w:val="001D2854"/>
    <w:rsid w:val="001F2172"/>
    <w:rsid w:val="0020778F"/>
    <w:rsid w:val="00224B5A"/>
    <w:rsid w:val="0024792B"/>
    <w:rsid w:val="002501DC"/>
    <w:rsid w:val="00283328"/>
    <w:rsid w:val="002E37D5"/>
    <w:rsid w:val="003A0CD5"/>
    <w:rsid w:val="003A0DB2"/>
    <w:rsid w:val="003B70AD"/>
    <w:rsid w:val="00400D8C"/>
    <w:rsid w:val="00462B9A"/>
    <w:rsid w:val="004A1778"/>
    <w:rsid w:val="004D4E33"/>
    <w:rsid w:val="0059666F"/>
    <w:rsid w:val="005B5E1A"/>
    <w:rsid w:val="005D64B4"/>
    <w:rsid w:val="005F662B"/>
    <w:rsid w:val="00602923"/>
    <w:rsid w:val="0063613A"/>
    <w:rsid w:val="00697B15"/>
    <w:rsid w:val="006B38CB"/>
    <w:rsid w:val="006D4FFF"/>
    <w:rsid w:val="007776F2"/>
    <w:rsid w:val="007808E5"/>
    <w:rsid w:val="00824DB8"/>
    <w:rsid w:val="0084605E"/>
    <w:rsid w:val="00852089"/>
    <w:rsid w:val="00855DD7"/>
    <w:rsid w:val="00861A3C"/>
    <w:rsid w:val="008656BF"/>
    <w:rsid w:val="0088709D"/>
    <w:rsid w:val="00892A59"/>
    <w:rsid w:val="008E6FFE"/>
    <w:rsid w:val="00902ADA"/>
    <w:rsid w:val="0092541D"/>
    <w:rsid w:val="009309D2"/>
    <w:rsid w:val="009376AF"/>
    <w:rsid w:val="00954B8B"/>
    <w:rsid w:val="0095582C"/>
    <w:rsid w:val="00996BFF"/>
    <w:rsid w:val="009E0210"/>
    <w:rsid w:val="009F1DB4"/>
    <w:rsid w:val="00A019C1"/>
    <w:rsid w:val="00A179B0"/>
    <w:rsid w:val="00A26DCD"/>
    <w:rsid w:val="00A31507"/>
    <w:rsid w:val="00A60446"/>
    <w:rsid w:val="00A8366A"/>
    <w:rsid w:val="00AA53D8"/>
    <w:rsid w:val="00AE0930"/>
    <w:rsid w:val="00B30054"/>
    <w:rsid w:val="00B37240"/>
    <w:rsid w:val="00B460CA"/>
    <w:rsid w:val="00B608D8"/>
    <w:rsid w:val="00B742F1"/>
    <w:rsid w:val="00BC09D7"/>
    <w:rsid w:val="00BD756E"/>
    <w:rsid w:val="00BF67FC"/>
    <w:rsid w:val="00C32BC0"/>
    <w:rsid w:val="00C76866"/>
    <w:rsid w:val="00C9220D"/>
    <w:rsid w:val="00CF0BE7"/>
    <w:rsid w:val="00D15144"/>
    <w:rsid w:val="00D77516"/>
    <w:rsid w:val="00D93664"/>
    <w:rsid w:val="00E00BF3"/>
    <w:rsid w:val="00E1054A"/>
    <w:rsid w:val="00E14476"/>
    <w:rsid w:val="00E24D30"/>
    <w:rsid w:val="00E7392C"/>
    <w:rsid w:val="00EB1C2D"/>
    <w:rsid w:val="00EB1ED6"/>
    <w:rsid w:val="00EC403A"/>
    <w:rsid w:val="00ED398A"/>
    <w:rsid w:val="00EE1510"/>
    <w:rsid w:val="00EE3DA8"/>
    <w:rsid w:val="00EE49C4"/>
    <w:rsid w:val="00EF1CFB"/>
    <w:rsid w:val="00F12968"/>
    <w:rsid w:val="00F66FD0"/>
    <w:rsid w:val="00F80ABE"/>
    <w:rsid w:val="00F84EA1"/>
    <w:rsid w:val="00FE45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56E"/>
    <w:pPr>
      <w:ind w:left="720"/>
      <w:contextualSpacing/>
    </w:pPr>
  </w:style>
  <w:style w:type="paragraph" w:styleId="Encabezado">
    <w:name w:val="header"/>
    <w:basedOn w:val="Normal"/>
    <w:link w:val="EncabezadoCar"/>
    <w:uiPriority w:val="99"/>
    <w:semiHidden/>
    <w:unhideWhenUsed/>
    <w:rsid w:val="00131E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31E8F"/>
  </w:style>
  <w:style w:type="paragraph" w:styleId="Piedepgina">
    <w:name w:val="footer"/>
    <w:basedOn w:val="Normal"/>
    <w:link w:val="PiedepginaCar"/>
    <w:uiPriority w:val="99"/>
    <w:semiHidden/>
    <w:unhideWhenUsed/>
    <w:rsid w:val="00131E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31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7349">
      <w:bodyDiv w:val="1"/>
      <w:marLeft w:val="0"/>
      <w:marRight w:val="0"/>
      <w:marTop w:val="0"/>
      <w:marBottom w:val="0"/>
      <w:divBdr>
        <w:top w:val="none" w:sz="0" w:space="0" w:color="auto"/>
        <w:left w:val="none" w:sz="0" w:space="0" w:color="auto"/>
        <w:bottom w:val="none" w:sz="0" w:space="0" w:color="auto"/>
        <w:right w:val="none" w:sz="0" w:space="0" w:color="auto"/>
      </w:divBdr>
    </w:div>
    <w:div w:id="271478608">
      <w:bodyDiv w:val="1"/>
      <w:marLeft w:val="0"/>
      <w:marRight w:val="0"/>
      <w:marTop w:val="0"/>
      <w:marBottom w:val="0"/>
      <w:divBdr>
        <w:top w:val="none" w:sz="0" w:space="0" w:color="auto"/>
        <w:left w:val="none" w:sz="0" w:space="0" w:color="auto"/>
        <w:bottom w:val="none" w:sz="0" w:space="0" w:color="auto"/>
        <w:right w:val="none" w:sz="0" w:space="0" w:color="auto"/>
      </w:divBdr>
    </w:div>
    <w:div w:id="277299557">
      <w:bodyDiv w:val="1"/>
      <w:marLeft w:val="0"/>
      <w:marRight w:val="0"/>
      <w:marTop w:val="0"/>
      <w:marBottom w:val="0"/>
      <w:divBdr>
        <w:top w:val="none" w:sz="0" w:space="0" w:color="auto"/>
        <w:left w:val="none" w:sz="0" w:space="0" w:color="auto"/>
        <w:bottom w:val="none" w:sz="0" w:space="0" w:color="auto"/>
        <w:right w:val="none" w:sz="0" w:space="0" w:color="auto"/>
      </w:divBdr>
    </w:div>
    <w:div w:id="314144432">
      <w:bodyDiv w:val="1"/>
      <w:marLeft w:val="0"/>
      <w:marRight w:val="0"/>
      <w:marTop w:val="0"/>
      <w:marBottom w:val="0"/>
      <w:divBdr>
        <w:top w:val="none" w:sz="0" w:space="0" w:color="auto"/>
        <w:left w:val="none" w:sz="0" w:space="0" w:color="auto"/>
        <w:bottom w:val="none" w:sz="0" w:space="0" w:color="auto"/>
        <w:right w:val="none" w:sz="0" w:space="0" w:color="auto"/>
      </w:divBdr>
    </w:div>
    <w:div w:id="497379238">
      <w:bodyDiv w:val="1"/>
      <w:marLeft w:val="0"/>
      <w:marRight w:val="0"/>
      <w:marTop w:val="0"/>
      <w:marBottom w:val="0"/>
      <w:divBdr>
        <w:top w:val="none" w:sz="0" w:space="0" w:color="auto"/>
        <w:left w:val="none" w:sz="0" w:space="0" w:color="auto"/>
        <w:bottom w:val="none" w:sz="0" w:space="0" w:color="auto"/>
        <w:right w:val="none" w:sz="0" w:space="0" w:color="auto"/>
      </w:divBdr>
    </w:div>
    <w:div w:id="523985746">
      <w:bodyDiv w:val="1"/>
      <w:marLeft w:val="0"/>
      <w:marRight w:val="0"/>
      <w:marTop w:val="0"/>
      <w:marBottom w:val="0"/>
      <w:divBdr>
        <w:top w:val="none" w:sz="0" w:space="0" w:color="auto"/>
        <w:left w:val="none" w:sz="0" w:space="0" w:color="auto"/>
        <w:bottom w:val="none" w:sz="0" w:space="0" w:color="auto"/>
        <w:right w:val="none" w:sz="0" w:space="0" w:color="auto"/>
      </w:divBdr>
    </w:div>
    <w:div w:id="526524541">
      <w:bodyDiv w:val="1"/>
      <w:marLeft w:val="0"/>
      <w:marRight w:val="0"/>
      <w:marTop w:val="0"/>
      <w:marBottom w:val="0"/>
      <w:divBdr>
        <w:top w:val="none" w:sz="0" w:space="0" w:color="auto"/>
        <w:left w:val="none" w:sz="0" w:space="0" w:color="auto"/>
        <w:bottom w:val="none" w:sz="0" w:space="0" w:color="auto"/>
        <w:right w:val="none" w:sz="0" w:space="0" w:color="auto"/>
      </w:divBdr>
    </w:div>
    <w:div w:id="558982592">
      <w:bodyDiv w:val="1"/>
      <w:marLeft w:val="0"/>
      <w:marRight w:val="0"/>
      <w:marTop w:val="0"/>
      <w:marBottom w:val="0"/>
      <w:divBdr>
        <w:top w:val="none" w:sz="0" w:space="0" w:color="auto"/>
        <w:left w:val="none" w:sz="0" w:space="0" w:color="auto"/>
        <w:bottom w:val="none" w:sz="0" w:space="0" w:color="auto"/>
        <w:right w:val="none" w:sz="0" w:space="0" w:color="auto"/>
      </w:divBdr>
    </w:div>
    <w:div w:id="628586296">
      <w:bodyDiv w:val="1"/>
      <w:marLeft w:val="0"/>
      <w:marRight w:val="0"/>
      <w:marTop w:val="0"/>
      <w:marBottom w:val="0"/>
      <w:divBdr>
        <w:top w:val="none" w:sz="0" w:space="0" w:color="auto"/>
        <w:left w:val="none" w:sz="0" w:space="0" w:color="auto"/>
        <w:bottom w:val="none" w:sz="0" w:space="0" w:color="auto"/>
        <w:right w:val="none" w:sz="0" w:space="0" w:color="auto"/>
      </w:divBdr>
    </w:div>
    <w:div w:id="716247480">
      <w:bodyDiv w:val="1"/>
      <w:marLeft w:val="0"/>
      <w:marRight w:val="0"/>
      <w:marTop w:val="0"/>
      <w:marBottom w:val="0"/>
      <w:divBdr>
        <w:top w:val="none" w:sz="0" w:space="0" w:color="auto"/>
        <w:left w:val="none" w:sz="0" w:space="0" w:color="auto"/>
        <w:bottom w:val="none" w:sz="0" w:space="0" w:color="auto"/>
        <w:right w:val="none" w:sz="0" w:space="0" w:color="auto"/>
      </w:divBdr>
    </w:div>
    <w:div w:id="724455626">
      <w:bodyDiv w:val="1"/>
      <w:marLeft w:val="0"/>
      <w:marRight w:val="0"/>
      <w:marTop w:val="0"/>
      <w:marBottom w:val="0"/>
      <w:divBdr>
        <w:top w:val="none" w:sz="0" w:space="0" w:color="auto"/>
        <w:left w:val="none" w:sz="0" w:space="0" w:color="auto"/>
        <w:bottom w:val="none" w:sz="0" w:space="0" w:color="auto"/>
        <w:right w:val="none" w:sz="0" w:space="0" w:color="auto"/>
      </w:divBdr>
    </w:div>
    <w:div w:id="778180086">
      <w:bodyDiv w:val="1"/>
      <w:marLeft w:val="0"/>
      <w:marRight w:val="0"/>
      <w:marTop w:val="0"/>
      <w:marBottom w:val="0"/>
      <w:divBdr>
        <w:top w:val="none" w:sz="0" w:space="0" w:color="auto"/>
        <w:left w:val="none" w:sz="0" w:space="0" w:color="auto"/>
        <w:bottom w:val="none" w:sz="0" w:space="0" w:color="auto"/>
        <w:right w:val="none" w:sz="0" w:space="0" w:color="auto"/>
      </w:divBdr>
    </w:div>
    <w:div w:id="838350044">
      <w:bodyDiv w:val="1"/>
      <w:marLeft w:val="0"/>
      <w:marRight w:val="0"/>
      <w:marTop w:val="0"/>
      <w:marBottom w:val="0"/>
      <w:divBdr>
        <w:top w:val="none" w:sz="0" w:space="0" w:color="auto"/>
        <w:left w:val="none" w:sz="0" w:space="0" w:color="auto"/>
        <w:bottom w:val="none" w:sz="0" w:space="0" w:color="auto"/>
        <w:right w:val="none" w:sz="0" w:space="0" w:color="auto"/>
      </w:divBdr>
    </w:div>
    <w:div w:id="845053572">
      <w:bodyDiv w:val="1"/>
      <w:marLeft w:val="0"/>
      <w:marRight w:val="0"/>
      <w:marTop w:val="0"/>
      <w:marBottom w:val="0"/>
      <w:divBdr>
        <w:top w:val="none" w:sz="0" w:space="0" w:color="auto"/>
        <w:left w:val="none" w:sz="0" w:space="0" w:color="auto"/>
        <w:bottom w:val="none" w:sz="0" w:space="0" w:color="auto"/>
        <w:right w:val="none" w:sz="0" w:space="0" w:color="auto"/>
      </w:divBdr>
    </w:div>
    <w:div w:id="863785583">
      <w:bodyDiv w:val="1"/>
      <w:marLeft w:val="0"/>
      <w:marRight w:val="0"/>
      <w:marTop w:val="0"/>
      <w:marBottom w:val="0"/>
      <w:divBdr>
        <w:top w:val="none" w:sz="0" w:space="0" w:color="auto"/>
        <w:left w:val="none" w:sz="0" w:space="0" w:color="auto"/>
        <w:bottom w:val="none" w:sz="0" w:space="0" w:color="auto"/>
        <w:right w:val="none" w:sz="0" w:space="0" w:color="auto"/>
      </w:divBdr>
    </w:div>
    <w:div w:id="872421796">
      <w:bodyDiv w:val="1"/>
      <w:marLeft w:val="0"/>
      <w:marRight w:val="0"/>
      <w:marTop w:val="0"/>
      <w:marBottom w:val="0"/>
      <w:divBdr>
        <w:top w:val="none" w:sz="0" w:space="0" w:color="auto"/>
        <w:left w:val="none" w:sz="0" w:space="0" w:color="auto"/>
        <w:bottom w:val="none" w:sz="0" w:space="0" w:color="auto"/>
        <w:right w:val="none" w:sz="0" w:space="0" w:color="auto"/>
      </w:divBdr>
    </w:div>
    <w:div w:id="924261083">
      <w:bodyDiv w:val="1"/>
      <w:marLeft w:val="0"/>
      <w:marRight w:val="0"/>
      <w:marTop w:val="0"/>
      <w:marBottom w:val="0"/>
      <w:divBdr>
        <w:top w:val="none" w:sz="0" w:space="0" w:color="auto"/>
        <w:left w:val="none" w:sz="0" w:space="0" w:color="auto"/>
        <w:bottom w:val="none" w:sz="0" w:space="0" w:color="auto"/>
        <w:right w:val="none" w:sz="0" w:space="0" w:color="auto"/>
      </w:divBdr>
    </w:div>
    <w:div w:id="1007560676">
      <w:bodyDiv w:val="1"/>
      <w:marLeft w:val="0"/>
      <w:marRight w:val="0"/>
      <w:marTop w:val="0"/>
      <w:marBottom w:val="0"/>
      <w:divBdr>
        <w:top w:val="none" w:sz="0" w:space="0" w:color="auto"/>
        <w:left w:val="none" w:sz="0" w:space="0" w:color="auto"/>
        <w:bottom w:val="none" w:sz="0" w:space="0" w:color="auto"/>
        <w:right w:val="none" w:sz="0" w:space="0" w:color="auto"/>
      </w:divBdr>
    </w:div>
    <w:div w:id="1011686149">
      <w:bodyDiv w:val="1"/>
      <w:marLeft w:val="0"/>
      <w:marRight w:val="0"/>
      <w:marTop w:val="0"/>
      <w:marBottom w:val="0"/>
      <w:divBdr>
        <w:top w:val="none" w:sz="0" w:space="0" w:color="auto"/>
        <w:left w:val="none" w:sz="0" w:space="0" w:color="auto"/>
        <w:bottom w:val="none" w:sz="0" w:space="0" w:color="auto"/>
        <w:right w:val="none" w:sz="0" w:space="0" w:color="auto"/>
      </w:divBdr>
    </w:div>
    <w:div w:id="1013605512">
      <w:bodyDiv w:val="1"/>
      <w:marLeft w:val="0"/>
      <w:marRight w:val="0"/>
      <w:marTop w:val="0"/>
      <w:marBottom w:val="0"/>
      <w:divBdr>
        <w:top w:val="none" w:sz="0" w:space="0" w:color="auto"/>
        <w:left w:val="none" w:sz="0" w:space="0" w:color="auto"/>
        <w:bottom w:val="none" w:sz="0" w:space="0" w:color="auto"/>
        <w:right w:val="none" w:sz="0" w:space="0" w:color="auto"/>
      </w:divBdr>
    </w:div>
    <w:div w:id="1058091621">
      <w:bodyDiv w:val="1"/>
      <w:marLeft w:val="0"/>
      <w:marRight w:val="0"/>
      <w:marTop w:val="0"/>
      <w:marBottom w:val="0"/>
      <w:divBdr>
        <w:top w:val="none" w:sz="0" w:space="0" w:color="auto"/>
        <w:left w:val="none" w:sz="0" w:space="0" w:color="auto"/>
        <w:bottom w:val="none" w:sz="0" w:space="0" w:color="auto"/>
        <w:right w:val="none" w:sz="0" w:space="0" w:color="auto"/>
      </w:divBdr>
    </w:div>
    <w:div w:id="1271157166">
      <w:bodyDiv w:val="1"/>
      <w:marLeft w:val="0"/>
      <w:marRight w:val="0"/>
      <w:marTop w:val="0"/>
      <w:marBottom w:val="0"/>
      <w:divBdr>
        <w:top w:val="none" w:sz="0" w:space="0" w:color="auto"/>
        <w:left w:val="none" w:sz="0" w:space="0" w:color="auto"/>
        <w:bottom w:val="none" w:sz="0" w:space="0" w:color="auto"/>
        <w:right w:val="none" w:sz="0" w:space="0" w:color="auto"/>
      </w:divBdr>
    </w:div>
    <w:div w:id="1288119304">
      <w:bodyDiv w:val="1"/>
      <w:marLeft w:val="0"/>
      <w:marRight w:val="0"/>
      <w:marTop w:val="0"/>
      <w:marBottom w:val="0"/>
      <w:divBdr>
        <w:top w:val="none" w:sz="0" w:space="0" w:color="auto"/>
        <w:left w:val="none" w:sz="0" w:space="0" w:color="auto"/>
        <w:bottom w:val="none" w:sz="0" w:space="0" w:color="auto"/>
        <w:right w:val="none" w:sz="0" w:space="0" w:color="auto"/>
      </w:divBdr>
    </w:div>
    <w:div w:id="1317030894">
      <w:bodyDiv w:val="1"/>
      <w:marLeft w:val="0"/>
      <w:marRight w:val="0"/>
      <w:marTop w:val="0"/>
      <w:marBottom w:val="0"/>
      <w:divBdr>
        <w:top w:val="none" w:sz="0" w:space="0" w:color="auto"/>
        <w:left w:val="none" w:sz="0" w:space="0" w:color="auto"/>
        <w:bottom w:val="none" w:sz="0" w:space="0" w:color="auto"/>
        <w:right w:val="none" w:sz="0" w:space="0" w:color="auto"/>
      </w:divBdr>
    </w:div>
    <w:div w:id="1328634617">
      <w:bodyDiv w:val="1"/>
      <w:marLeft w:val="0"/>
      <w:marRight w:val="0"/>
      <w:marTop w:val="0"/>
      <w:marBottom w:val="0"/>
      <w:divBdr>
        <w:top w:val="none" w:sz="0" w:space="0" w:color="auto"/>
        <w:left w:val="none" w:sz="0" w:space="0" w:color="auto"/>
        <w:bottom w:val="none" w:sz="0" w:space="0" w:color="auto"/>
        <w:right w:val="none" w:sz="0" w:space="0" w:color="auto"/>
      </w:divBdr>
    </w:div>
    <w:div w:id="1344361037">
      <w:bodyDiv w:val="1"/>
      <w:marLeft w:val="0"/>
      <w:marRight w:val="0"/>
      <w:marTop w:val="0"/>
      <w:marBottom w:val="0"/>
      <w:divBdr>
        <w:top w:val="none" w:sz="0" w:space="0" w:color="auto"/>
        <w:left w:val="none" w:sz="0" w:space="0" w:color="auto"/>
        <w:bottom w:val="none" w:sz="0" w:space="0" w:color="auto"/>
        <w:right w:val="none" w:sz="0" w:space="0" w:color="auto"/>
      </w:divBdr>
    </w:div>
    <w:div w:id="1568959937">
      <w:bodyDiv w:val="1"/>
      <w:marLeft w:val="0"/>
      <w:marRight w:val="0"/>
      <w:marTop w:val="0"/>
      <w:marBottom w:val="0"/>
      <w:divBdr>
        <w:top w:val="none" w:sz="0" w:space="0" w:color="auto"/>
        <w:left w:val="none" w:sz="0" w:space="0" w:color="auto"/>
        <w:bottom w:val="none" w:sz="0" w:space="0" w:color="auto"/>
        <w:right w:val="none" w:sz="0" w:space="0" w:color="auto"/>
      </w:divBdr>
    </w:div>
    <w:div w:id="1668633815">
      <w:bodyDiv w:val="1"/>
      <w:marLeft w:val="0"/>
      <w:marRight w:val="0"/>
      <w:marTop w:val="0"/>
      <w:marBottom w:val="0"/>
      <w:divBdr>
        <w:top w:val="none" w:sz="0" w:space="0" w:color="auto"/>
        <w:left w:val="none" w:sz="0" w:space="0" w:color="auto"/>
        <w:bottom w:val="none" w:sz="0" w:space="0" w:color="auto"/>
        <w:right w:val="none" w:sz="0" w:space="0" w:color="auto"/>
      </w:divBdr>
    </w:div>
    <w:div w:id="1742286340">
      <w:bodyDiv w:val="1"/>
      <w:marLeft w:val="0"/>
      <w:marRight w:val="0"/>
      <w:marTop w:val="0"/>
      <w:marBottom w:val="0"/>
      <w:divBdr>
        <w:top w:val="none" w:sz="0" w:space="0" w:color="auto"/>
        <w:left w:val="none" w:sz="0" w:space="0" w:color="auto"/>
        <w:bottom w:val="none" w:sz="0" w:space="0" w:color="auto"/>
        <w:right w:val="none" w:sz="0" w:space="0" w:color="auto"/>
      </w:divBdr>
    </w:div>
    <w:div w:id="1831603888">
      <w:bodyDiv w:val="1"/>
      <w:marLeft w:val="0"/>
      <w:marRight w:val="0"/>
      <w:marTop w:val="0"/>
      <w:marBottom w:val="0"/>
      <w:divBdr>
        <w:top w:val="none" w:sz="0" w:space="0" w:color="auto"/>
        <w:left w:val="none" w:sz="0" w:space="0" w:color="auto"/>
        <w:bottom w:val="none" w:sz="0" w:space="0" w:color="auto"/>
        <w:right w:val="none" w:sz="0" w:space="0" w:color="auto"/>
      </w:divBdr>
    </w:div>
    <w:div w:id="1859734795">
      <w:bodyDiv w:val="1"/>
      <w:marLeft w:val="0"/>
      <w:marRight w:val="0"/>
      <w:marTop w:val="0"/>
      <w:marBottom w:val="0"/>
      <w:divBdr>
        <w:top w:val="none" w:sz="0" w:space="0" w:color="auto"/>
        <w:left w:val="none" w:sz="0" w:space="0" w:color="auto"/>
        <w:bottom w:val="none" w:sz="0" w:space="0" w:color="auto"/>
        <w:right w:val="none" w:sz="0" w:space="0" w:color="auto"/>
      </w:divBdr>
    </w:div>
    <w:div w:id="2126189312">
      <w:bodyDiv w:val="1"/>
      <w:marLeft w:val="0"/>
      <w:marRight w:val="0"/>
      <w:marTop w:val="0"/>
      <w:marBottom w:val="0"/>
      <w:divBdr>
        <w:top w:val="none" w:sz="0" w:space="0" w:color="auto"/>
        <w:left w:val="none" w:sz="0" w:space="0" w:color="auto"/>
        <w:bottom w:val="none" w:sz="0" w:space="0" w:color="auto"/>
        <w:right w:val="none" w:sz="0" w:space="0" w:color="auto"/>
      </w:divBdr>
    </w:div>
    <w:div w:id="2131314982">
      <w:bodyDiv w:val="1"/>
      <w:marLeft w:val="0"/>
      <w:marRight w:val="0"/>
      <w:marTop w:val="0"/>
      <w:marBottom w:val="0"/>
      <w:divBdr>
        <w:top w:val="none" w:sz="0" w:space="0" w:color="auto"/>
        <w:left w:val="none" w:sz="0" w:space="0" w:color="auto"/>
        <w:bottom w:val="none" w:sz="0" w:space="0" w:color="auto"/>
        <w:right w:val="none" w:sz="0" w:space="0" w:color="auto"/>
      </w:divBdr>
    </w:div>
    <w:div w:id="21446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4CB57-B27C-4E13-ADFD-B30E9761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3410</Words>
  <Characters>18757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ocordova</dc:creator>
  <cp:lastModifiedBy>Fernando Chapetti Siordia</cp:lastModifiedBy>
  <cp:revision>47</cp:revision>
  <cp:lastPrinted>2016-07-21T20:54:00Z</cp:lastPrinted>
  <dcterms:created xsi:type="dcterms:W3CDTF">2016-06-17T03:43:00Z</dcterms:created>
  <dcterms:modified xsi:type="dcterms:W3CDTF">2016-07-26T16:52:00Z</dcterms:modified>
</cp:coreProperties>
</file>