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C4" w:rsidRPr="00922E7F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Tabla de aplicabilidad de las Obligaciones de transparencia </w:t>
      </w:r>
      <w:r w:rsidR="0091347C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comunes 2016</w:t>
      </w:r>
      <w:r w:rsidR="00DB472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de </w:t>
      </w:r>
      <w:r w:rsidR="00AE421C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Fondo Estatal de Solidaridad (FES)</w:t>
      </w:r>
    </w:p>
    <w:p w:rsidR="00554264" w:rsidRDefault="00554264" w:rsidP="00667E9A">
      <w:pPr>
        <w:spacing w:after="0" w:line="240" w:lineRule="auto"/>
        <w:ind w:left="851"/>
        <w:jc w:val="both"/>
        <w:rPr>
          <w:i/>
        </w:rPr>
      </w:pPr>
    </w:p>
    <w:p w:rsidR="00667E9A" w:rsidRDefault="00667E9A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554264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</w:t>
      </w:r>
      <w:r w:rsidRPr="00667E9A">
        <w:rPr>
          <w:i/>
        </w:rPr>
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C64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55"/>
        <w:gridCol w:w="1450"/>
        <w:gridCol w:w="1450"/>
        <w:gridCol w:w="743"/>
        <w:gridCol w:w="2911"/>
        <w:gridCol w:w="2833"/>
        <w:gridCol w:w="2654"/>
      </w:tblGrid>
      <w:tr w:rsidR="00951EA4" w:rsidRPr="00864C64" w:rsidTr="0091347C">
        <w:trPr>
          <w:trHeight w:val="132"/>
          <w:tblHeader/>
        </w:trPr>
        <w:tc>
          <w:tcPr>
            <w:tcW w:w="367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864C64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02" w:type="pct"/>
            <w:gridSpan w:val="4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B2460F" w:rsidRPr="00864C64" w:rsidTr="0091347C">
        <w:trPr>
          <w:trHeight w:val="1334"/>
          <w:tblHeader/>
        </w:trPr>
        <w:tc>
          <w:tcPr>
            <w:tcW w:w="367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90" w:type="pct"/>
            <w:shd w:val="clear" w:color="000000" w:fill="60497A"/>
            <w:vAlign w:val="center"/>
            <w:hideMark/>
          </w:tcPr>
          <w:p w:rsidR="00951EA4" w:rsidRPr="00864C64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06" w:type="pc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91347C" w:rsidRPr="00864C64" w:rsidTr="006E4D1D">
        <w:trPr>
          <w:trHeight w:val="1790"/>
        </w:trPr>
        <w:tc>
          <w:tcPr>
            <w:tcW w:w="367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DB472D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Estatal</w:t>
            </w:r>
            <w:r w:rsidR="0091347C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Poder Ejecutivo</w:t>
            </w:r>
            <w:r w:rsidR="00DB472D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111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F81885" w:rsidRPr="00DB472D" w:rsidRDefault="00F81885" w:rsidP="00DB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472D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Organismo descentralizado</w:t>
            </w:r>
          </w:p>
          <w:p w:rsid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91347C" w:rsidRPr="00951EA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1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91347C" w:rsidRPr="0091347C" w:rsidRDefault="0091347C" w:rsidP="00DB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91347C" w:rsidRPr="00864C64" w:rsidRDefault="00DB472D" w:rsidP="00DB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</w:p>
        </w:tc>
      </w:tr>
      <w:tr w:rsidR="00734655" w:rsidRPr="00864C64" w:rsidTr="00734655">
        <w:trPr>
          <w:trHeight w:val="15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AD1B1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734655">
        <w:trPr>
          <w:trHeight w:val="717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6D179B" w:rsidP="0067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67205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20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Default="0067205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Dirección de Planeación y Finanzas; y </w:t>
            </w:r>
          </w:p>
          <w:p w:rsidR="00672056" w:rsidRPr="00864C64" w:rsidRDefault="0067205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75358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51E1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71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83333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805E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83333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83333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8C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C21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</w:t>
            </w:r>
            <w:r w:rsidR="00451E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rección de Planeación y Finanzas (Subdirección de Contabilidad)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  <w:p w:rsidR="00B47E8D" w:rsidRDefault="00B47E8D" w:rsidP="00B47E8D">
            <w:pPr>
              <w:jc w:val="center"/>
            </w:pP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15732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83AD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</w:p>
        </w:tc>
      </w:tr>
      <w:tr w:rsidR="00734655" w:rsidRPr="00864C64" w:rsidTr="00734655">
        <w:trPr>
          <w:trHeight w:val="88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B019CC" w:rsidRDefault="00B019CC" w:rsidP="00B019C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F7338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No Aplica</w:t>
            </w:r>
          </w:p>
          <w:p w:rsidR="00734655" w:rsidRDefault="006F79A2" w:rsidP="006335F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</w:t>
            </w:r>
            <w:r w:rsidR="006335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tribución de la </w:t>
            </w:r>
            <w:r w:rsidR="006335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de la Contraloría General del Estado</w:t>
            </w:r>
            <w:r w:rsidR="006335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como lo determina la Ley Orgánica del Poder Ejecutivo del Estado </w:t>
            </w:r>
            <w:r w:rsidR="008F76D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(Art. 26, letra C.- fracción IX)</w:t>
            </w:r>
            <w:r w:rsidR="00B019CC"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A83814" w:rsidP="00E51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019C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E51D0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66919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6691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DF6ACE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  <w:p w:rsidR="00DF6ACE" w:rsidRDefault="00DF6ACE" w:rsidP="00DF6ACE">
            <w:pPr>
              <w:jc w:val="center"/>
            </w:pP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F6ACE" w:rsidP="003E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Atención a Población Vulnerable</w:t>
            </w:r>
            <w:r w:rsidR="00AD1B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Dirección de Programas Alimentarios, Dirección de Atenció</w:t>
            </w:r>
            <w:r w:rsidR="003E1B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a Personas con Discapacidad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864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864C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BD4733" w:rsidP="00BD473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E1D2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No aplica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363CB2" w:rsidRDefault="00363CB2" w:rsidP="00BD4733">
            <w:pPr>
              <w:jc w:val="center"/>
            </w:pPr>
            <w:r w:rsidRPr="009E1D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Secretaría de Hacienda.- Subsecretaría de Recursos Humanos</w:t>
            </w:r>
            <w:r w:rsidR="009E1D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según lo establece la Ley Orgánica del Poder Ejecutivo del Gobierno el Estado.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E2784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  <w:p w:rsidR="00E27849" w:rsidRDefault="00E27849" w:rsidP="00E27849">
            <w:pPr>
              <w:jc w:val="center"/>
            </w:pP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6A1D77" w:rsidP="006A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Pr="006A1D7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irección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Recursos Humanos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6B0090" w:rsidRDefault="006A1D77" w:rsidP="00734655">
            <w:pPr>
              <w:jc w:val="center"/>
              <w:rPr>
                <w:sz w:val="20"/>
                <w:szCs w:val="20"/>
              </w:rPr>
            </w:pPr>
            <w:r w:rsidRPr="00546BD3">
              <w:rPr>
                <w:sz w:val="20"/>
                <w:szCs w:val="20"/>
                <w:highlight w:val="yellow"/>
              </w:rPr>
              <w:t xml:space="preserve">No </w:t>
            </w:r>
            <w:r w:rsidR="00EB1562" w:rsidRPr="00546BD3">
              <w:rPr>
                <w:sz w:val="20"/>
                <w:szCs w:val="20"/>
                <w:highlight w:val="yellow"/>
              </w:rPr>
              <w:t>aplica. -</w:t>
            </w:r>
          </w:p>
          <w:p w:rsidR="00734655" w:rsidRPr="00D948A2" w:rsidRDefault="00BA0FD3" w:rsidP="00BE5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Atribuciones de la Secretaría de la Contraloría General del Estado</w:t>
            </w:r>
            <w:r w:rsidR="006C7A2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Ley Orgánica del Poder Ejecutivo del Estado Art. 26, letra C.- fracción X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A0FD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0654A" w:rsidP="00017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017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52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E662D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E662D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E662D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E662D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451E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(Subdirección de Contabilidad)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694198" w:rsidRDefault="0008126F" w:rsidP="0008126F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90EBA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No </w:t>
            </w:r>
            <w:r w:rsidR="00694198" w:rsidRPr="00590EBA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Aplica</w:t>
            </w:r>
            <w:r w:rsidR="0069419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-</w:t>
            </w:r>
          </w:p>
          <w:p w:rsidR="00734655" w:rsidRDefault="0008126F" w:rsidP="00D222D6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Atribución establecida a la Secretaría de </w:t>
            </w:r>
            <w:r w:rsidRPr="00590E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Hacienda del Estado, </w:t>
            </w:r>
            <w:r w:rsidR="00D222D6" w:rsidRPr="00D222D6">
              <w:rPr>
                <w:sz w:val="20"/>
                <w:szCs w:val="20"/>
              </w:rPr>
              <w:t>Artículo 22 Bis de la Ley del Presupuesto de Egresos y Gasto Público Estatal</w:t>
            </w:r>
            <w:r w:rsidR="00E936C7">
              <w:t>.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08126F" w:rsidRDefault="00734655" w:rsidP="0008126F">
            <w:pPr>
              <w:jc w:val="center"/>
              <w:rPr>
                <w:highlight w:val="yellow"/>
              </w:rPr>
            </w:pPr>
            <w:r w:rsidRPr="00AC7CC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08126F" w:rsidRDefault="00451E1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Comunicación Social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Los informes de resultados de las auditorías al ejercicio presupuestal de cada sujeto obligado que se realicen y, en su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caso, las aclaraciones que correspondan;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8126F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081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0812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704C1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04C11" w:rsidP="00704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33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704C1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51E13" w:rsidP="00E54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Dirección de Atención a Población Vulnerable</w:t>
            </w:r>
          </w:p>
        </w:tc>
      </w:tr>
      <w:tr w:rsidR="00734655" w:rsidRPr="00864C64" w:rsidTr="00734655">
        <w:trPr>
          <w:trHeight w:val="27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272C60" w:rsidRDefault="00650367" w:rsidP="008C1A96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50367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No </w:t>
            </w:r>
            <w:r w:rsidR="0001065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Aplica. </w:t>
            </w:r>
            <w:r w:rsidR="00272C60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–</w:t>
            </w:r>
          </w:p>
          <w:p w:rsidR="00734655" w:rsidRDefault="008C1A96" w:rsidP="008C1A96">
            <w:pPr>
              <w:jc w:val="center"/>
            </w:pPr>
            <w:r w:rsidRPr="000106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Atribución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establecida a la Secretaria de Hacienda en la Ley Orgánica del Po</w:t>
            </w:r>
            <w:r w:rsidR="00272C6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der Ejecutivo del 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de Sonora.</w:t>
            </w:r>
            <w:r w:rsidR="00272C6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Apartado F, Fracción III.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21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7353C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53CC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1375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1375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1800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2654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2654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2654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2654D" w:rsidP="0002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2E2428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024F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(Subdirección de Contabilidad)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001E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63C4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001E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1001E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001E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1001E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001E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1001E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24FF2" w:rsidRDefault="00024FF2" w:rsidP="00024FF2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50367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Aplica. –</w:t>
            </w:r>
          </w:p>
          <w:p w:rsidR="00734655" w:rsidRPr="00024FF2" w:rsidRDefault="00024FF2" w:rsidP="00024F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FF2">
              <w:rPr>
                <w:rFonts w:cstheme="minorHAnsi"/>
                <w:sz w:val="20"/>
                <w:szCs w:val="20"/>
              </w:rPr>
              <w:t>Atribución establecida a la Secretaría de la Contraloría, General del Estado Art. 26 fracción X, y a la Secretaría del Trabajo, Art. 33 fracciones VII y VIII, ambos de la Ley Orgánica del Poder Ejecutivo del Estado de Sonora.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C8734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C8734C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Los programas que ofrecen, incluyendo información sobre la población, objetivo y destino, así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como los trámites, tiempos de respuesta, requisitos y formatos para acceder a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5217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659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Dirección de Planeación y Finanzas y </w:t>
            </w:r>
            <w:r w:rsidR="0015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5217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E0958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E51D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Coordinación General de Archivo</w:t>
            </w:r>
          </w:p>
        </w:tc>
      </w:tr>
      <w:tr w:rsidR="00734655" w:rsidRPr="00864C64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F03C8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B3284" w:rsidP="003E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2E2428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659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Secretaría Técnica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F03C8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E51D0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Programas Alimentarios y Desarrollo Comunitario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1D4C05" w:rsidRDefault="003E5A70" w:rsidP="003E5A7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03C83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No </w:t>
            </w:r>
            <w:r w:rsidR="001D4C05" w:rsidRPr="00F03C83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Aplica</w:t>
            </w:r>
            <w:r w:rsidR="001D4C05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. -</w:t>
            </w:r>
            <w:r w:rsidR="00B979AA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  <w:p w:rsidR="00734655" w:rsidRDefault="00B979AA" w:rsidP="003E5A70">
            <w:pPr>
              <w:jc w:val="center"/>
            </w:pPr>
            <w:r w:rsidRPr="00B979A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 Atribución de ISSSTESON conforme lo señala la</w:t>
            </w:r>
            <w:r w:rsidR="003E5A70" w:rsidRPr="00B979A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3E5A70" w:rsidRPr="00E727E5">
              <w:rPr>
                <w:sz w:val="20"/>
                <w:szCs w:val="20"/>
              </w:rPr>
              <w:t>Ley d</w:t>
            </w:r>
            <w:r w:rsidR="00D73E44">
              <w:rPr>
                <w:sz w:val="20"/>
                <w:szCs w:val="20"/>
              </w:rPr>
              <w:t>el Instituto d</w:t>
            </w:r>
            <w:r w:rsidR="003E5A70" w:rsidRPr="00E727E5">
              <w:rPr>
                <w:sz w:val="20"/>
                <w:szCs w:val="20"/>
              </w:rPr>
              <w:t>e Seguridad Y Servicios Sociales De Los Trabajadores Del Estado De Sonora.- Art. 1</w:t>
            </w:r>
            <w:r w:rsidR="003E5A70" w:rsidRPr="00F03C83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F03C8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F2307" w:rsidRDefault="00DF2307" w:rsidP="00F0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E51D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(Subdirección de Contabilidad)</w:t>
            </w:r>
          </w:p>
          <w:p w:rsidR="00734655" w:rsidRPr="00DF2307" w:rsidRDefault="00734655" w:rsidP="00DF230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847F7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847F7" w:rsidP="00E51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</w:t>
            </w:r>
            <w:r w:rsidR="00AD1B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ón de Atención a Población Vul</w:t>
            </w:r>
            <w:r w:rsidR="00E51D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nerable y Centros Asistenciales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847F7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847F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</w:p>
        </w:tc>
      </w:tr>
      <w:tr w:rsidR="00734655" w:rsidRPr="00864C64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8E728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246EC" w:rsidP="0032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2E2428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2575D1" w:rsidRDefault="00595734" w:rsidP="008E728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311D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lastRenderedPageBreak/>
              <w:t xml:space="preserve">No </w:t>
            </w:r>
            <w:r w:rsidR="002575D1" w:rsidRPr="003311D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Aplica. -</w:t>
            </w:r>
          </w:p>
          <w:p w:rsidR="00734655" w:rsidRDefault="00595734" w:rsidP="002575D1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Atribución de la Secretaría de Infraestructura  Urbana y  Desarrollo Urbano, establecidas en la Ley Orgánica del Poder Ejecutivo del estado de Sonora, Art. 29, Apartados E y F.</w:t>
            </w:r>
            <w:r w:rsidR="00734655"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8E728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8E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E72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Unidad de Transparencia y todas las Unidades Administrativas a las que corresponda. </w:t>
            </w:r>
          </w:p>
        </w:tc>
      </w:tr>
      <w:tr w:rsidR="00734655" w:rsidRPr="00864C64" w:rsidTr="00734655">
        <w:trPr>
          <w:trHeight w:val="409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41743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F0313" w:rsidP="00417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</w:t>
            </w:r>
            <w:r w:rsidR="00417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eneral de la entidad y 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60D6"/>
    <w:rsid w:val="00010659"/>
    <w:rsid w:val="0001375E"/>
    <w:rsid w:val="00016199"/>
    <w:rsid w:val="00017061"/>
    <w:rsid w:val="0002283E"/>
    <w:rsid w:val="00024FF2"/>
    <w:rsid w:val="0002654D"/>
    <w:rsid w:val="00041749"/>
    <w:rsid w:val="00056175"/>
    <w:rsid w:val="00066919"/>
    <w:rsid w:val="0008126F"/>
    <w:rsid w:val="000B328D"/>
    <w:rsid w:val="000F0313"/>
    <w:rsid w:val="001001E0"/>
    <w:rsid w:val="001112FB"/>
    <w:rsid w:val="0015217D"/>
    <w:rsid w:val="00164E99"/>
    <w:rsid w:val="001C7363"/>
    <w:rsid w:val="001D4947"/>
    <w:rsid w:val="001D4C05"/>
    <w:rsid w:val="001F50F2"/>
    <w:rsid w:val="00222986"/>
    <w:rsid w:val="002575D1"/>
    <w:rsid w:val="00262C53"/>
    <w:rsid w:val="00264138"/>
    <w:rsid w:val="00272C60"/>
    <w:rsid w:val="0028212D"/>
    <w:rsid w:val="0029399E"/>
    <w:rsid w:val="002962D2"/>
    <w:rsid w:val="002D2629"/>
    <w:rsid w:val="002E2428"/>
    <w:rsid w:val="002E6A9A"/>
    <w:rsid w:val="00305729"/>
    <w:rsid w:val="00313368"/>
    <w:rsid w:val="003153C7"/>
    <w:rsid w:val="00315732"/>
    <w:rsid w:val="003171E0"/>
    <w:rsid w:val="003246EC"/>
    <w:rsid w:val="003311D9"/>
    <w:rsid w:val="003315C6"/>
    <w:rsid w:val="00363CB2"/>
    <w:rsid w:val="003E1B2B"/>
    <w:rsid w:val="003E5A70"/>
    <w:rsid w:val="003F4C16"/>
    <w:rsid w:val="00402FB8"/>
    <w:rsid w:val="00415002"/>
    <w:rsid w:val="0041743D"/>
    <w:rsid w:val="00423135"/>
    <w:rsid w:val="00451E13"/>
    <w:rsid w:val="004659C3"/>
    <w:rsid w:val="004679BE"/>
    <w:rsid w:val="00474ECB"/>
    <w:rsid w:val="00483AD4"/>
    <w:rsid w:val="004B3284"/>
    <w:rsid w:val="004B6085"/>
    <w:rsid w:val="00534D62"/>
    <w:rsid w:val="00546BD3"/>
    <w:rsid w:val="00554264"/>
    <w:rsid w:val="00590EBA"/>
    <w:rsid w:val="00595734"/>
    <w:rsid w:val="005E3AFE"/>
    <w:rsid w:val="005F0FD2"/>
    <w:rsid w:val="00603814"/>
    <w:rsid w:val="00614EB8"/>
    <w:rsid w:val="00626E5C"/>
    <w:rsid w:val="006335FC"/>
    <w:rsid w:val="00643FF6"/>
    <w:rsid w:val="00650367"/>
    <w:rsid w:val="00667E9A"/>
    <w:rsid w:val="00672056"/>
    <w:rsid w:val="00686F88"/>
    <w:rsid w:val="00694198"/>
    <w:rsid w:val="006A1D77"/>
    <w:rsid w:val="006B0090"/>
    <w:rsid w:val="006C7A22"/>
    <w:rsid w:val="006C7D33"/>
    <w:rsid w:val="006D179B"/>
    <w:rsid w:val="006D28AA"/>
    <w:rsid w:val="006E43B3"/>
    <w:rsid w:val="006E4D1D"/>
    <w:rsid w:val="006F1EAC"/>
    <w:rsid w:val="006F79A2"/>
    <w:rsid w:val="007031F8"/>
    <w:rsid w:val="00704C11"/>
    <w:rsid w:val="00704F11"/>
    <w:rsid w:val="0071003C"/>
    <w:rsid w:val="00730B2B"/>
    <w:rsid w:val="00734655"/>
    <w:rsid w:val="007353CC"/>
    <w:rsid w:val="0075358C"/>
    <w:rsid w:val="0075714B"/>
    <w:rsid w:val="007805E9"/>
    <w:rsid w:val="007F33D8"/>
    <w:rsid w:val="008070E6"/>
    <w:rsid w:val="00833336"/>
    <w:rsid w:val="00864C64"/>
    <w:rsid w:val="00864E59"/>
    <w:rsid w:val="00880D48"/>
    <w:rsid w:val="008C1A96"/>
    <w:rsid w:val="008C21E2"/>
    <w:rsid w:val="008D3747"/>
    <w:rsid w:val="008E6955"/>
    <w:rsid w:val="008E7280"/>
    <w:rsid w:val="008F76D0"/>
    <w:rsid w:val="009016E5"/>
    <w:rsid w:val="0091347C"/>
    <w:rsid w:val="00913825"/>
    <w:rsid w:val="00922E7F"/>
    <w:rsid w:val="00926FAD"/>
    <w:rsid w:val="00951EA4"/>
    <w:rsid w:val="00970527"/>
    <w:rsid w:val="00970893"/>
    <w:rsid w:val="00982F88"/>
    <w:rsid w:val="009901F6"/>
    <w:rsid w:val="009A025C"/>
    <w:rsid w:val="009A3AF4"/>
    <w:rsid w:val="009C25DB"/>
    <w:rsid w:val="009E1D29"/>
    <w:rsid w:val="009E405E"/>
    <w:rsid w:val="009F1BBC"/>
    <w:rsid w:val="00A02588"/>
    <w:rsid w:val="00A52B2A"/>
    <w:rsid w:val="00A63C3E"/>
    <w:rsid w:val="00A83814"/>
    <w:rsid w:val="00A83D2C"/>
    <w:rsid w:val="00A94C08"/>
    <w:rsid w:val="00AB1A88"/>
    <w:rsid w:val="00AC7ABA"/>
    <w:rsid w:val="00AC7CCD"/>
    <w:rsid w:val="00AD1B13"/>
    <w:rsid w:val="00AD413E"/>
    <w:rsid w:val="00AD574B"/>
    <w:rsid w:val="00AE421C"/>
    <w:rsid w:val="00B019CC"/>
    <w:rsid w:val="00B04730"/>
    <w:rsid w:val="00B2460F"/>
    <w:rsid w:val="00B366FD"/>
    <w:rsid w:val="00B43A8D"/>
    <w:rsid w:val="00B47E8D"/>
    <w:rsid w:val="00B63C43"/>
    <w:rsid w:val="00B744CC"/>
    <w:rsid w:val="00B847F7"/>
    <w:rsid w:val="00B979AA"/>
    <w:rsid w:val="00BA0FD3"/>
    <w:rsid w:val="00BA26B3"/>
    <w:rsid w:val="00BA3CD1"/>
    <w:rsid w:val="00BC0E34"/>
    <w:rsid w:val="00BC2CC9"/>
    <w:rsid w:val="00BD4733"/>
    <w:rsid w:val="00BE0958"/>
    <w:rsid w:val="00BE5077"/>
    <w:rsid w:val="00BF7338"/>
    <w:rsid w:val="00C07982"/>
    <w:rsid w:val="00C6302E"/>
    <w:rsid w:val="00C66099"/>
    <w:rsid w:val="00C8734C"/>
    <w:rsid w:val="00D222D6"/>
    <w:rsid w:val="00D4271F"/>
    <w:rsid w:val="00D73E44"/>
    <w:rsid w:val="00D948A2"/>
    <w:rsid w:val="00DA6791"/>
    <w:rsid w:val="00DB472D"/>
    <w:rsid w:val="00DC6732"/>
    <w:rsid w:val="00DF2307"/>
    <w:rsid w:val="00DF6ACE"/>
    <w:rsid w:val="00E04926"/>
    <w:rsid w:val="00E22E14"/>
    <w:rsid w:val="00E27849"/>
    <w:rsid w:val="00E516D5"/>
    <w:rsid w:val="00E51D0D"/>
    <w:rsid w:val="00E54E0E"/>
    <w:rsid w:val="00E662D6"/>
    <w:rsid w:val="00E727E5"/>
    <w:rsid w:val="00E81A04"/>
    <w:rsid w:val="00E936C7"/>
    <w:rsid w:val="00EB1562"/>
    <w:rsid w:val="00EB76C4"/>
    <w:rsid w:val="00EE16DF"/>
    <w:rsid w:val="00EE33B7"/>
    <w:rsid w:val="00EF44D8"/>
    <w:rsid w:val="00F03C83"/>
    <w:rsid w:val="00F0654A"/>
    <w:rsid w:val="00F307FE"/>
    <w:rsid w:val="00F50015"/>
    <w:rsid w:val="00F509A5"/>
    <w:rsid w:val="00F55EA1"/>
    <w:rsid w:val="00F81885"/>
    <w:rsid w:val="00F97083"/>
    <w:rsid w:val="00FD4A8A"/>
    <w:rsid w:val="00FE4A42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3657"/>
  <w15:docId w15:val="{BEEF4CDE-E64C-45CB-B5D4-68B14CA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2A6D-3F93-4950-A635-99A1C42B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2007</Words>
  <Characters>11041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Especialistas</dc:creator>
  <cp:lastModifiedBy>Cristina de los Angeles Morales Ortiz</cp:lastModifiedBy>
  <cp:revision>5</cp:revision>
  <cp:lastPrinted>2016-04-27T00:44:00Z</cp:lastPrinted>
  <dcterms:created xsi:type="dcterms:W3CDTF">2018-05-23T20:12:00Z</dcterms:created>
  <dcterms:modified xsi:type="dcterms:W3CDTF">2018-05-23T21:06:00Z</dcterms:modified>
</cp:coreProperties>
</file>