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66" w:rsidRDefault="008E4566" w:rsidP="00DF4E09">
      <w:pPr>
        <w:rPr>
          <w:rFonts w:ascii="Arial" w:hAnsi="Arial" w:cs="Arial"/>
          <w:b/>
          <w:i/>
          <w:sz w:val="20"/>
          <w:szCs w:val="20"/>
        </w:rPr>
      </w:pPr>
    </w:p>
    <w:p w:rsidR="00DF4E09" w:rsidRDefault="00DF4E09" w:rsidP="00DF4E09">
      <w:pPr>
        <w:pStyle w:val="Prrafodelista"/>
        <w:numPr>
          <w:ilvl w:val="0"/>
          <w:numId w:val="23"/>
        </w:numPr>
        <w:spacing w:after="0"/>
        <w:rPr>
          <w:rFonts w:ascii="Arial" w:hAnsi="Arial" w:cs="Arial"/>
          <w:b/>
          <w:i/>
          <w:sz w:val="20"/>
          <w:szCs w:val="20"/>
          <w:lang w:val="es-ES"/>
        </w:rPr>
      </w:pPr>
      <w:r w:rsidRPr="00DF4E09">
        <w:rPr>
          <w:rFonts w:ascii="Arial" w:hAnsi="Arial" w:cs="Arial"/>
          <w:b/>
          <w:i/>
          <w:sz w:val="20"/>
          <w:szCs w:val="20"/>
          <w:lang w:val="es-ES"/>
        </w:rPr>
        <w:t>NOTAS DE DESGLOSE</w:t>
      </w:r>
    </w:p>
    <w:p w:rsidR="00811F4B" w:rsidRPr="00DF4E09" w:rsidRDefault="00811F4B" w:rsidP="00811F4B">
      <w:pPr>
        <w:pStyle w:val="Prrafodelista"/>
        <w:spacing w:after="0"/>
        <w:rPr>
          <w:rFonts w:ascii="Arial" w:hAnsi="Arial" w:cs="Arial"/>
          <w:b/>
          <w:i/>
          <w:sz w:val="20"/>
          <w:szCs w:val="20"/>
          <w:lang w:val="es-ES"/>
        </w:rPr>
      </w:pPr>
    </w:p>
    <w:p w:rsid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Situación Financiera</w:t>
      </w:r>
    </w:p>
    <w:p w:rsidR="00811F4B" w:rsidRPr="00DF4E09" w:rsidRDefault="00811F4B" w:rsidP="00811F4B">
      <w:pPr>
        <w:pStyle w:val="Prrafodelista"/>
        <w:spacing w:after="0"/>
        <w:ind w:left="1080"/>
        <w:rPr>
          <w:rFonts w:ascii="Arial" w:hAnsi="Arial" w:cs="Arial"/>
          <w:b/>
          <w:sz w:val="20"/>
          <w:szCs w:val="20"/>
          <w:u w:val="single"/>
          <w:lang w:val="es-ES"/>
        </w:rPr>
      </w:pPr>
    </w:p>
    <w:p w:rsidR="00DF4E09" w:rsidRPr="00DF4E09" w:rsidRDefault="00DF4E09" w:rsidP="00DF4E09">
      <w:pPr>
        <w:rPr>
          <w:rFonts w:ascii="Arial" w:hAnsi="Arial" w:cs="Arial"/>
          <w:b/>
          <w:bCs/>
          <w:sz w:val="20"/>
          <w:szCs w:val="20"/>
        </w:rPr>
      </w:pPr>
      <w:r w:rsidRPr="00DF4E09">
        <w:rPr>
          <w:rFonts w:ascii="Arial" w:hAnsi="Arial" w:cs="Arial"/>
          <w:b/>
          <w:bCs/>
          <w:sz w:val="20"/>
          <w:szCs w:val="20"/>
        </w:rPr>
        <w:t>Activo</w:t>
      </w:r>
    </w:p>
    <w:p w:rsidR="00DF4E09" w:rsidRPr="00DF4E09" w:rsidRDefault="00C017CD" w:rsidP="00DF4E09">
      <w:pPr>
        <w:ind w:firstLine="708"/>
        <w:rPr>
          <w:rFonts w:ascii="Arial" w:hAnsi="Arial" w:cs="Arial"/>
          <w:b/>
          <w:sz w:val="20"/>
          <w:szCs w:val="20"/>
        </w:rPr>
      </w:pPr>
      <w:r>
        <w:rPr>
          <w:rFonts w:ascii="Arial" w:hAnsi="Arial" w:cs="Arial"/>
          <w:b/>
          <w:sz w:val="20"/>
          <w:szCs w:val="20"/>
        </w:rPr>
        <w:t xml:space="preserve">Nota 1.- </w:t>
      </w:r>
      <w:r w:rsidR="00DF4E09" w:rsidRPr="00DF4E09">
        <w:rPr>
          <w:rFonts w:ascii="Arial" w:hAnsi="Arial" w:cs="Arial"/>
          <w:b/>
          <w:sz w:val="20"/>
          <w:szCs w:val="20"/>
        </w:rPr>
        <w:t>Efectivo y Equivalentes</w:t>
      </w:r>
    </w:p>
    <w:tbl>
      <w:tblPr>
        <w:tblStyle w:val="Tablaconcuadrcula"/>
        <w:tblW w:w="0" w:type="auto"/>
        <w:jc w:val="center"/>
        <w:tblLook w:val="04A0"/>
      </w:tblPr>
      <w:tblGrid>
        <w:gridCol w:w="1795"/>
        <w:gridCol w:w="1795"/>
        <w:gridCol w:w="1796"/>
        <w:gridCol w:w="2377"/>
      </w:tblGrid>
      <w:tr w:rsidR="00DF4E09" w:rsidRPr="00DF4E09" w:rsidTr="00DF4E09">
        <w:trPr>
          <w:trHeight w:val="511"/>
          <w:jc w:val="center"/>
        </w:trPr>
        <w:tc>
          <w:tcPr>
            <w:tcW w:w="1795"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CONCEPTO</w:t>
            </w:r>
          </w:p>
        </w:tc>
        <w:tc>
          <w:tcPr>
            <w:tcW w:w="1795"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EFECTIVO</w:t>
            </w:r>
          </w:p>
        </w:tc>
        <w:tc>
          <w:tcPr>
            <w:tcW w:w="1796"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BANCOS</w:t>
            </w:r>
          </w:p>
        </w:tc>
        <w:tc>
          <w:tcPr>
            <w:tcW w:w="2377"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TOTAL DE EFECTIVO  Y EQUIVALENTES</w:t>
            </w:r>
          </w:p>
        </w:tc>
      </w:tr>
      <w:tr w:rsidR="00DF4E09" w:rsidRPr="00DF4E09" w:rsidTr="00DF4E09">
        <w:trPr>
          <w:jc w:val="center"/>
        </w:trPr>
        <w:tc>
          <w:tcPr>
            <w:tcW w:w="1795"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Fondo fijo</w:t>
            </w:r>
          </w:p>
        </w:tc>
        <w:tc>
          <w:tcPr>
            <w:tcW w:w="1795" w:type="dxa"/>
          </w:tcPr>
          <w:p w:rsidR="00DF4E09" w:rsidRPr="00DF4E09" w:rsidRDefault="00DF4E09" w:rsidP="003965BF">
            <w:pPr>
              <w:jc w:val="right"/>
              <w:rPr>
                <w:rFonts w:ascii="Arial" w:hAnsi="Arial" w:cs="Arial"/>
                <w:sz w:val="20"/>
                <w:szCs w:val="20"/>
                <w:lang w:val="es-ES"/>
              </w:rPr>
            </w:pPr>
            <w:r w:rsidRPr="00DF4E09">
              <w:rPr>
                <w:rFonts w:ascii="Arial" w:hAnsi="Arial" w:cs="Arial"/>
                <w:sz w:val="20"/>
                <w:szCs w:val="20"/>
                <w:lang w:val="es-ES"/>
              </w:rPr>
              <w:t>3,000.00</w:t>
            </w:r>
          </w:p>
        </w:tc>
        <w:tc>
          <w:tcPr>
            <w:tcW w:w="1796" w:type="dxa"/>
          </w:tcPr>
          <w:p w:rsidR="00DF4E09" w:rsidRPr="00DF4E09" w:rsidRDefault="00DF4E09" w:rsidP="003965BF">
            <w:pPr>
              <w:jc w:val="right"/>
              <w:rPr>
                <w:rFonts w:ascii="Arial" w:hAnsi="Arial" w:cs="Arial"/>
                <w:sz w:val="20"/>
                <w:szCs w:val="20"/>
                <w:lang w:val="es-ES"/>
              </w:rPr>
            </w:pPr>
            <w:r w:rsidRPr="00DF4E09">
              <w:rPr>
                <w:rFonts w:ascii="Arial" w:hAnsi="Arial" w:cs="Arial"/>
                <w:sz w:val="20"/>
                <w:szCs w:val="20"/>
                <w:lang w:val="es-ES"/>
              </w:rPr>
              <w:t>0</w:t>
            </w:r>
            <w:r w:rsidR="002C3BD9">
              <w:rPr>
                <w:rFonts w:ascii="Arial" w:hAnsi="Arial" w:cs="Arial"/>
                <w:sz w:val="20"/>
                <w:szCs w:val="20"/>
                <w:lang w:val="es-ES"/>
              </w:rPr>
              <w:t>.00</w:t>
            </w:r>
          </w:p>
        </w:tc>
        <w:tc>
          <w:tcPr>
            <w:tcW w:w="2377" w:type="dxa"/>
          </w:tcPr>
          <w:p w:rsidR="00DF4E09" w:rsidRPr="00DF4E09" w:rsidRDefault="00DF4E09" w:rsidP="003965BF">
            <w:pPr>
              <w:jc w:val="right"/>
              <w:rPr>
                <w:rFonts w:ascii="Arial" w:hAnsi="Arial" w:cs="Arial"/>
                <w:sz w:val="20"/>
                <w:szCs w:val="20"/>
                <w:lang w:val="es-ES"/>
              </w:rPr>
            </w:pPr>
            <w:r w:rsidRPr="00DF4E09">
              <w:rPr>
                <w:rFonts w:ascii="Arial" w:hAnsi="Arial" w:cs="Arial"/>
                <w:sz w:val="20"/>
                <w:szCs w:val="20"/>
                <w:lang w:val="es-ES"/>
              </w:rPr>
              <w:t>3,000.00</w:t>
            </w:r>
          </w:p>
        </w:tc>
      </w:tr>
      <w:tr w:rsidR="00DE4154" w:rsidRPr="00DF4E09" w:rsidTr="00DF4E09">
        <w:trPr>
          <w:jc w:val="center"/>
        </w:trPr>
        <w:tc>
          <w:tcPr>
            <w:tcW w:w="1795" w:type="dxa"/>
          </w:tcPr>
          <w:p w:rsidR="00DE4154" w:rsidRPr="00DF4E09" w:rsidRDefault="00DE4154" w:rsidP="003965BF">
            <w:pPr>
              <w:jc w:val="both"/>
              <w:rPr>
                <w:rFonts w:ascii="Arial" w:hAnsi="Arial" w:cs="Arial"/>
                <w:sz w:val="20"/>
                <w:szCs w:val="20"/>
                <w:lang w:val="es-ES"/>
              </w:rPr>
            </w:pPr>
            <w:r w:rsidRPr="00DF4E09">
              <w:rPr>
                <w:rFonts w:ascii="Arial" w:hAnsi="Arial" w:cs="Arial"/>
                <w:sz w:val="20"/>
                <w:szCs w:val="20"/>
                <w:lang w:val="es-ES"/>
              </w:rPr>
              <w:t>HSBC</w:t>
            </w:r>
          </w:p>
        </w:tc>
        <w:tc>
          <w:tcPr>
            <w:tcW w:w="1795" w:type="dxa"/>
          </w:tcPr>
          <w:p w:rsidR="00DE4154" w:rsidRPr="00DF4E09" w:rsidRDefault="00DE4154" w:rsidP="003965BF">
            <w:pPr>
              <w:jc w:val="right"/>
              <w:rPr>
                <w:rFonts w:ascii="Arial" w:hAnsi="Arial" w:cs="Arial"/>
                <w:sz w:val="20"/>
                <w:szCs w:val="20"/>
                <w:lang w:val="es-ES"/>
              </w:rPr>
            </w:pPr>
            <w:r w:rsidRPr="00DF4E09">
              <w:rPr>
                <w:rFonts w:ascii="Arial" w:hAnsi="Arial" w:cs="Arial"/>
                <w:sz w:val="20"/>
                <w:szCs w:val="20"/>
                <w:lang w:val="es-ES"/>
              </w:rPr>
              <w:t>0</w:t>
            </w:r>
            <w:r w:rsidR="006E0FE4">
              <w:rPr>
                <w:rFonts w:ascii="Arial" w:hAnsi="Arial" w:cs="Arial"/>
                <w:sz w:val="20"/>
                <w:szCs w:val="20"/>
                <w:lang w:val="es-ES"/>
              </w:rPr>
              <w:t>.00</w:t>
            </w:r>
          </w:p>
        </w:tc>
        <w:tc>
          <w:tcPr>
            <w:tcW w:w="1796" w:type="dxa"/>
          </w:tcPr>
          <w:p w:rsidR="00DE4154" w:rsidRPr="00DF4E09" w:rsidRDefault="00397407" w:rsidP="003965BF">
            <w:pPr>
              <w:jc w:val="right"/>
              <w:rPr>
                <w:rFonts w:ascii="Arial" w:hAnsi="Arial" w:cs="Arial"/>
                <w:sz w:val="20"/>
                <w:szCs w:val="20"/>
                <w:lang w:val="es-ES"/>
              </w:rPr>
            </w:pPr>
            <w:r>
              <w:rPr>
                <w:rFonts w:ascii="Arial" w:hAnsi="Arial" w:cs="Arial"/>
                <w:sz w:val="20"/>
                <w:szCs w:val="20"/>
                <w:lang w:val="es-ES"/>
              </w:rPr>
              <w:t>226,715.52</w:t>
            </w:r>
          </w:p>
        </w:tc>
        <w:tc>
          <w:tcPr>
            <w:tcW w:w="2377" w:type="dxa"/>
          </w:tcPr>
          <w:p w:rsidR="00DE4154" w:rsidRPr="00DF4E09" w:rsidRDefault="00397407" w:rsidP="003965BF">
            <w:pPr>
              <w:jc w:val="right"/>
              <w:rPr>
                <w:rFonts w:ascii="Arial" w:hAnsi="Arial" w:cs="Arial"/>
                <w:sz w:val="20"/>
                <w:szCs w:val="20"/>
                <w:lang w:val="es-ES"/>
              </w:rPr>
            </w:pPr>
            <w:r>
              <w:rPr>
                <w:rFonts w:ascii="Arial" w:hAnsi="Arial" w:cs="Arial"/>
                <w:sz w:val="20"/>
                <w:szCs w:val="20"/>
                <w:lang w:val="es-ES"/>
              </w:rPr>
              <w:t>226,715.52</w:t>
            </w:r>
          </w:p>
        </w:tc>
      </w:tr>
      <w:tr w:rsidR="00DE4154" w:rsidRPr="00DF4E09" w:rsidTr="00DF4E09">
        <w:trPr>
          <w:jc w:val="center"/>
        </w:trPr>
        <w:tc>
          <w:tcPr>
            <w:tcW w:w="1795" w:type="dxa"/>
          </w:tcPr>
          <w:p w:rsidR="00DE4154" w:rsidRPr="00DF4E09" w:rsidRDefault="00DE4154" w:rsidP="003965BF">
            <w:pPr>
              <w:jc w:val="both"/>
              <w:rPr>
                <w:rFonts w:ascii="Arial" w:hAnsi="Arial" w:cs="Arial"/>
                <w:sz w:val="20"/>
                <w:szCs w:val="20"/>
                <w:lang w:val="es-ES"/>
              </w:rPr>
            </w:pPr>
            <w:r w:rsidRPr="00DF4E09">
              <w:rPr>
                <w:rFonts w:ascii="Arial" w:hAnsi="Arial" w:cs="Arial"/>
                <w:sz w:val="20"/>
                <w:szCs w:val="20"/>
                <w:lang w:val="es-ES"/>
              </w:rPr>
              <w:t>BANCOMER</w:t>
            </w:r>
          </w:p>
        </w:tc>
        <w:tc>
          <w:tcPr>
            <w:tcW w:w="1795" w:type="dxa"/>
          </w:tcPr>
          <w:p w:rsidR="00DE4154" w:rsidRPr="00DF4E09" w:rsidRDefault="00DE4154" w:rsidP="003965BF">
            <w:pPr>
              <w:jc w:val="right"/>
              <w:rPr>
                <w:rFonts w:ascii="Arial" w:hAnsi="Arial" w:cs="Arial"/>
                <w:sz w:val="20"/>
                <w:szCs w:val="20"/>
                <w:lang w:val="es-ES"/>
              </w:rPr>
            </w:pPr>
            <w:r w:rsidRPr="00DF4E09">
              <w:rPr>
                <w:rFonts w:ascii="Arial" w:hAnsi="Arial" w:cs="Arial"/>
                <w:sz w:val="20"/>
                <w:szCs w:val="20"/>
                <w:lang w:val="es-ES"/>
              </w:rPr>
              <w:t>0</w:t>
            </w:r>
            <w:r w:rsidR="006E0FE4">
              <w:rPr>
                <w:rFonts w:ascii="Arial" w:hAnsi="Arial" w:cs="Arial"/>
                <w:sz w:val="20"/>
                <w:szCs w:val="20"/>
                <w:lang w:val="es-ES"/>
              </w:rPr>
              <w:t>.00</w:t>
            </w:r>
          </w:p>
        </w:tc>
        <w:tc>
          <w:tcPr>
            <w:tcW w:w="1796" w:type="dxa"/>
          </w:tcPr>
          <w:p w:rsidR="00DE4154" w:rsidRPr="00DF4E09" w:rsidRDefault="00397407" w:rsidP="003965BF">
            <w:pPr>
              <w:jc w:val="right"/>
              <w:rPr>
                <w:rFonts w:ascii="Arial" w:hAnsi="Arial" w:cs="Arial"/>
                <w:sz w:val="20"/>
                <w:szCs w:val="20"/>
                <w:lang w:val="es-ES"/>
              </w:rPr>
            </w:pPr>
            <w:r>
              <w:rPr>
                <w:rFonts w:ascii="Arial" w:hAnsi="Arial" w:cs="Arial"/>
                <w:sz w:val="20"/>
                <w:szCs w:val="20"/>
                <w:lang w:val="es-ES"/>
              </w:rPr>
              <w:t>1</w:t>
            </w:r>
            <w:r w:rsidR="00E168C2">
              <w:rPr>
                <w:rFonts w:ascii="Arial" w:hAnsi="Arial" w:cs="Arial"/>
                <w:sz w:val="20"/>
                <w:szCs w:val="20"/>
                <w:lang w:val="es-ES"/>
              </w:rPr>
              <w:t>29,810.36</w:t>
            </w:r>
          </w:p>
        </w:tc>
        <w:tc>
          <w:tcPr>
            <w:tcW w:w="2377" w:type="dxa"/>
          </w:tcPr>
          <w:p w:rsidR="00DE4154" w:rsidRPr="00DF4E09" w:rsidRDefault="00E168C2" w:rsidP="003965BF">
            <w:pPr>
              <w:jc w:val="right"/>
              <w:rPr>
                <w:rFonts w:ascii="Arial" w:hAnsi="Arial" w:cs="Arial"/>
                <w:sz w:val="20"/>
                <w:szCs w:val="20"/>
                <w:lang w:val="es-ES"/>
              </w:rPr>
            </w:pPr>
            <w:r>
              <w:rPr>
                <w:rFonts w:ascii="Arial" w:hAnsi="Arial" w:cs="Arial"/>
                <w:sz w:val="20"/>
                <w:szCs w:val="20"/>
                <w:lang w:val="es-ES"/>
              </w:rPr>
              <w:t>129,810.36</w:t>
            </w:r>
          </w:p>
        </w:tc>
      </w:tr>
      <w:tr w:rsidR="00DE4154" w:rsidRPr="00DF4E09" w:rsidTr="00DF4E09">
        <w:trPr>
          <w:jc w:val="center"/>
        </w:trPr>
        <w:tc>
          <w:tcPr>
            <w:tcW w:w="1795" w:type="dxa"/>
          </w:tcPr>
          <w:p w:rsidR="00DE4154" w:rsidRPr="00DF4E09" w:rsidRDefault="00DE4154" w:rsidP="003965BF">
            <w:pPr>
              <w:jc w:val="both"/>
              <w:rPr>
                <w:rFonts w:ascii="Arial" w:hAnsi="Arial" w:cs="Arial"/>
                <w:sz w:val="20"/>
                <w:szCs w:val="20"/>
                <w:lang w:val="es-ES"/>
              </w:rPr>
            </w:pPr>
            <w:r w:rsidRPr="00DF4E09">
              <w:rPr>
                <w:rFonts w:ascii="Arial" w:hAnsi="Arial" w:cs="Arial"/>
                <w:sz w:val="20"/>
                <w:szCs w:val="20"/>
                <w:lang w:val="es-ES"/>
              </w:rPr>
              <w:t>TOTAL</w:t>
            </w:r>
          </w:p>
        </w:tc>
        <w:tc>
          <w:tcPr>
            <w:tcW w:w="1795" w:type="dxa"/>
          </w:tcPr>
          <w:p w:rsidR="00DE4154" w:rsidRPr="00DF4E09" w:rsidRDefault="0003507C" w:rsidP="003965BF">
            <w:pPr>
              <w:jc w:val="right"/>
              <w:rPr>
                <w:rFonts w:ascii="Arial" w:hAnsi="Arial" w:cs="Arial"/>
                <w:sz w:val="20"/>
                <w:szCs w:val="20"/>
                <w:lang w:val="es-ES"/>
              </w:rPr>
            </w:pPr>
            <w:r>
              <w:rPr>
                <w:rFonts w:ascii="Arial" w:hAnsi="Arial" w:cs="Arial"/>
                <w:sz w:val="20"/>
                <w:szCs w:val="20"/>
                <w:lang w:val="es-ES"/>
              </w:rPr>
              <w:t>3,00</w:t>
            </w:r>
            <w:r w:rsidR="00DE4154" w:rsidRPr="00DF4E09">
              <w:rPr>
                <w:rFonts w:ascii="Arial" w:hAnsi="Arial" w:cs="Arial"/>
                <w:sz w:val="20"/>
                <w:szCs w:val="20"/>
                <w:lang w:val="es-ES"/>
              </w:rPr>
              <w:t>0</w:t>
            </w:r>
            <w:r>
              <w:rPr>
                <w:rFonts w:ascii="Arial" w:hAnsi="Arial" w:cs="Arial"/>
                <w:sz w:val="20"/>
                <w:szCs w:val="20"/>
                <w:lang w:val="es-ES"/>
              </w:rPr>
              <w:t>.00</w:t>
            </w:r>
          </w:p>
        </w:tc>
        <w:tc>
          <w:tcPr>
            <w:tcW w:w="1796" w:type="dxa"/>
          </w:tcPr>
          <w:p w:rsidR="00DE4154" w:rsidRPr="00DF4E09" w:rsidRDefault="00E168C2" w:rsidP="003965BF">
            <w:pPr>
              <w:jc w:val="right"/>
              <w:rPr>
                <w:rFonts w:ascii="Arial" w:hAnsi="Arial" w:cs="Arial"/>
                <w:sz w:val="20"/>
                <w:szCs w:val="20"/>
                <w:lang w:val="es-ES"/>
              </w:rPr>
            </w:pPr>
            <w:r>
              <w:rPr>
                <w:rFonts w:ascii="Arial" w:hAnsi="Arial" w:cs="Arial"/>
                <w:sz w:val="20"/>
                <w:szCs w:val="20"/>
                <w:lang w:val="es-ES"/>
              </w:rPr>
              <w:t>356,525.88</w:t>
            </w:r>
          </w:p>
        </w:tc>
        <w:tc>
          <w:tcPr>
            <w:tcW w:w="2377" w:type="dxa"/>
          </w:tcPr>
          <w:p w:rsidR="00DE4154" w:rsidRPr="00DF4E09" w:rsidRDefault="00E168C2" w:rsidP="0003507C">
            <w:pPr>
              <w:jc w:val="right"/>
              <w:rPr>
                <w:rFonts w:ascii="Arial" w:hAnsi="Arial" w:cs="Arial"/>
                <w:sz w:val="20"/>
                <w:szCs w:val="20"/>
                <w:lang w:val="es-ES"/>
              </w:rPr>
            </w:pPr>
            <w:r>
              <w:rPr>
                <w:rFonts w:ascii="Arial" w:hAnsi="Arial" w:cs="Arial"/>
                <w:sz w:val="20"/>
                <w:szCs w:val="20"/>
                <w:lang w:val="es-ES"/>
              </w:rPr>
              <w:t>359,525.88</w:t>
            </w:r>
          </w:p>
        </w:tc>
      </w:tr>
    </w:tbl>
    <w:p w:rsidR="00DF4E09" w:rsidRPr="00DF4E09" w:rsidRDefault="00DF4E09" w:rsidP="00DF4E09">
      <w:pPr>
        <w:ind w:left="360"/>
        <w:jc w:val="both"/>
        <w:rPr>
          <w:rFonts w:ascii="Arial" w:hAnsi="Arial" w:cs="Arial"/>
          <w:sz w:val="20"/>
          <w:szCs w:val="20"/>
        </w:rPr>
      </w:pPr>
    </w:p>
    <w:p w:rsidR="00811F4B" w:rsidRDefault="00811F4B" w:rsidP="00DF4E09">
      <w:pPr>
        <w:jc w:val="both"/>
        <w:rPr>
          <w:rFonts w:ascii="Arial" w:hAnsi="Arial" w:cs="Arial"/>
          <w:sz w:val="20"/>
          <w:szCs w:val="20"/>
        </w:rPr>
      </w:pPr>
    </w:p>
    <w:p w:rsidR="0003507C" w:rsidRDefault="00DF4E09" w:rsidP="00DF4E09">
      <w:pPr>
        <w:jc w:val="both"/>
        <w:rPr>
          <w:rFonts w:ascii="Arial" w:hAnsi="Arial" w:cs="Arial"/>
          <w:sz w:val="20"/>
          <w:szCs w:val="20"/>
        </w:rPr>
      </w:pPr>
      <w:r w:rsidRPr="00DF4E09">
        <w:rPr>
          <w:rFonts w:ascii="Arial" w:hAnsi="Arial" w:cs="Arial"/>
          <w:sz w:val="20"/>
          <w:szCs w:val="20"/>
        </w:rPr>
        <w:t xml:space="preserve">El rubro de efectivo corresponde a un fondo </w:t>
      </w:r>
      <w:r w:rsidR="00811F4B" w:rsidRPr="00DF4E09">
        <w:rPr>
          <w:rFonts w:ascii="Arial" w:hAnsi="Arial" w:cs="Arial"/>
          <w:sz w:val="20"/>
          <w:szCs w:val="20"/>
        </w:rPr>
        <w:t>revolverte</w:t>
      </w:r>
      <w:r w:rsidRPr="00DF4E09">
        <w:rPr>
          <w:rFonts w:ascii="Arial" w:hAnsi="Arial" w:cs="Arial"/>
          <w:sz w:val="20"/>
          <w:szCs w:val="20"/>
        </w:rPr>
        <w:t xml:space="preserve"> para la operación de diversos gastos de las distintas unidades administrativas en su mayoría se utiliza para la asignación de gastos menores de la subdirección técnica, se inicia en enero, realizando cierre el mes de diciembre por disposiciones estatales, con gastos menores a quinientos pesos.</w:t>
      </w:r>
    </w:p>
    <w:p w:rsidR="0003507C" w:rsidRDefault="0003507C" w:rsidP="00DF4E09">
      <w:pPr>
        <w:jc w:val="both"/>
        <w:rPr>
          <w:rFonts w:ascii="Arial" w:hAnsi="Arial" w:cs="Arial"/>
          <w:sz w:val="20"/>
          <w:szCs w:val="20"/>
        </w:rPr>
      </w:pPr>
    </w:p>
    <w:p w:rsidR="00DF4E09" w:rsidRPr="00DF4E09" w:rsidRDefault="00397407" w:rsidP="00DF4E09">
      <w:pPr>
        <w:jc w:val="both"/>
        <w:rPr>
          <w:rFonts w:ascii="Arial" w:hAnsi="Arial" w:cs="Arial"/>
          <w:sz w:val="20"/>
          <w:szCs w:val="20"/>
        </w:rPr>
      </w:pPr>
      <w:r>
        <w:rPr>
          <w:rFonts w:ascii="Arial" w:hAnsi="Arial" w:cs="Arial"/>
          <w:sz w:val="20"/>
          <w:szCs w:val="20"/>
        </w:rPr>
        <w:t xml:space="preserve">No se </w:t>
      </w:r>
      <w:r w:rsidR="00DF4E09" w:rsidRPr="00DF4E09">
        <w:rPr>
          <w:rFonts w:ascii="Arial" w:hAnsi="Arial" w:cs="Arial"/>
          <w:sz w:val="20"/>
          <w:szCs w:val="20"/>
        </w:rPr>
        <w:t>cuenta con inversiones, las cuentas son de ahorro – chequera, transferencias electrónicas.</w:t>
      </w:r>
    </w:p>
    <w:p w:rsidR="00C017CD" w:rsidRDefault="00C017CD" w:rsidP="00DF4E09">
      <w:pPr>
        <w:jc w:val="both"/>
        <w:rPr>
          <w:rFonts w:ascii="Arial" w:hAnsi="Arial" w:cs="Arial"/>
          <w:sz w:val="20"/>
          <w:szCs w:val="20"/>
        </w:rPr>
      </w:pPr>
    </w:p>
    <w:p w:rsidR="00DF4E09" w:rsidRPr="00DF4E09" w:rsidRDefault="00C017CD" w:rsidP="00DF4E09">
      <w:pPr>
        <w:jc w:val="both"/>
        <w:rPr>
          <w:rFonts w:ascii="Arial" w:hAnsi="Arial" w:cs="Arial"/>
          <w:sz w:val="20"/>
          <w:szCs w:val="20"/>
        </w:rPr>
      </w:pPr>
      <w:r w:rsidRPr="00DE4154">
        <w:rPr>
          <w:rFonts w:ascii="Arial" w:hAnsi="Arial" w:cs="Arial"/>
          <w:b/>
          <w:sz w:val="20"/>
          <w:szCs w:val="20"/>
        </w:rPr>
        <w:t xml:space="preserve">Nota </w:t>
      </w:r>
      <w:r w:rsidR="00DF4E09" w:rsidRPr="00DE4154">
        <w:rPr>
          <w:rFonts w:ascii="Arial" w:hAnsi="Arial" w:cs="Arial"/>
          <w:b/>
          <w:sz w:val="20"/>
          <w:szCs w:val="20"/>
        </w:rPr>
        <w:t>2</w:t>
      </w:r>
      <w:r>
        <w:rPr>
          <w:rFonts w:ascii="Arial" w:hAnsi="Arial" w:cs="Arial"/>
          <w:sz w:val="20"/>
          <w:szCs w:val="20"/>
        </w:rPr>
        <w:t xml:space="preserve"> Derechos a recibir efectivo o equivalentes</w:t>
      </w:r>
      <w:r w:rsidR="00DF4E09" w:rsidRPr="00DF4E09">
        <w:rPr>
          <w:rFonts w:ascii="Arial" w:hAnsi="Arial" w:cs="Arial"/>
          <w:sz w:val="20"/>
          <w:szCs w:val="20"/>
        </w:rPr>
        <w:t xml:space="preserve">.- </w:t>
      </w:r>
      <w:r>
        <w:rPr>
          <w:rFonts w:ascii="Arial" w:hAnsi="Arial" w:cs="Arial"/>
          <w:sz w:val="20"/>
          <w:szCs w:val="20"/>
        </w:rPr>
        <w:t>S</w:t>
      </w:r>
      <w:r w:rsidR="00DF4E09" w:rsidRPr="00DF4E09">
        <w:rPr>
          <w:rFonts w:ascii="Arial" w:hAnsi="Arial" w:cs="Arial"/>
          <w:sz w:val="20"/>
          <w:szCs w:val="20"/>
        </w:rPr>
        <w:t>e encuentra integrada de la siguiente manera;</w:t>
      </w:r>
    </w:p>
    <w:p w:rsidR="00DF4E09" w:rsidRPr="00DF4E09" w:rsidRDefault="00DF4E09" w:rsidP="00DF4E09">
      <w:pPr>
        <w:jc w:val="both"/>
        <w:rPr>
          <w:rFonts w:ascii="Arial" w:hAnsi="Arial" w:cs="Arial"/>
          <w:sz w:val="20"/>
          <w:szCs w:val="20"/>
        </w:rPr>
      </w:pPr>
    </w:p>
    <w:tbl>
      <w:tblPr>
        <w:tblStyle w:val="Tablaconcuadrcula"/>
        <w:tblW w:w="0" w:type="auto"/>
        <w:jc w:val="center"/>
        <w:tblLook w:val="04A0"/>
      </w:tblPr>
      <w:tblGrid>
        <w:gridCol w:w="5920"/>
        <w:gridCol w:w="2268"/>
      </w:tblGrid>
      <w:tr w:rsidR="00DF4E09" w:rsidRPr="00DF4E09" w:rsidTr="00DF4E09">
        <w:trPr>
          <w:jc w:val="center"/>
        </w:trPr>
        <w:tc>
          <w:tcPr>
            <w:tcW w:w="5920"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CONCEPTO</w:t>
            </w:r>
          </w:p>
        </w:tc>
        <w:tc>
          <w:tcPr>
            <w:tcW w:w="2268" w:type="dxa"/>
            <w:vAlign w:val="center"/>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DF4E09">
        <w:trPr>
          <w:jc w:val="center"/>
        </w:trPr>
        <w:tc>
          <w:tcPr>
            <w:tcW w:w="5920"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Cuentas por cobrar a corto plazo</w:t>
            </w:r>
          </w:p>
        </w:tc>
        <w:tc>
          <w:tcPr>
            <w:tcW w:w="2268" w:type="dxa"/>
            <w:vAlign w:val="center"/>
          </w:tcPr>
          <w:p w:rsidR="0003507C" w:rsidRPr="00DF4E09" w:rsidRDefault="00DF4E09" w:rsidP="0003507C">
            <w:pPr>
              <w:jc w:val="right"/>
              <w:rPr>
                <w:rFonts w:ascii="Arial" w:hAnsi="Arial" w:cs="Arial"/>
                <w:sz w:val="20"/>
                <w:szCs w:val="20"/>
                <w:lang w:val="es-ES"/>
              </w:rPr>
            </w:pPr>
            <w:r w:rsidRPr="00DF4E09">
              <w:rPr>
                <w:rFonts w:ascii="Arial" w:hAnsi="Arial" w:cs="Arial"/>
                <w:sz w:val="20"/>
                <w:szCs w:val="20"/>
                <w:lang w:val="es-ES"/>
              </w:rPr>
              <w:t xml:space="preserve">      1,</w:t>
            </w:r>
            <w:r w:rsidR="00E655D5">
              <w:rPr>
                <w:rFonts w:ascii="Arial" w:hAnsi="Arial" w:cs="Arial"/>
                <w:sz w:val="20"/>
                <w:szCs w:val="20"/>
                <w:lang w:val="es-ES"/>
              </w:rPr>
              <w:t>413,605.00</w:t>
            </w:r>
          </w:p>
        </w:tc>
      </w:tr>
      <w:tr w:rsidR="00DF4E09" w:rsidRPr="00DF4E09" w:rsidTr="00DF4E09">
        <w:trPr>
          <w:jc w:val="center"/>
        </w:trPr>
        <w:tc>
          <w:tcPr>
            <w:tcW w:w="5920"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Deudores diversos por cobrar a corto plazo</w:t>
            </w:r>
          </w:p>
        </w:tc>
        <w:tc>
          <w:tcPr>
            <w:tcW w:w="2268" w:type="dxa"/>
            <w:vAlign w:val="center"/>
          </w:tcPr>
          <w:p w:rsidR="00DF4E09" w:rsidRPr="00DF4E09" w:rsidRDefault="00E655D5" w:rsidP="003965BF">
            <w:pPr>
              <w:jc w:val="right"/>
              <w:rPr>
                <w:rFonts w:ascii="Arial" w:hAnsi="Arial" w:cs="Arial"/>
                <w:sz w:val="20"/>
                <w:szCs w:val="20"/>
                <w:lang w:val="es-ES"/>
              </w:rPr>
            </w:pPr>
            <w:r>
              <w:rPr>
                <w:rFonts w:ascii="Arial" w:hAnsi="Arial" w:cs="Arial"/>
                <w:sz w:val="20"/>
                <w:szCs w:val="20"/>
                <w:lang w:val="es-ES"/>
              </w:rPr>
              <w:t>48,172.02</w:t>
            </w:r>
          </w:p>
        </w:tc>
      </w:tr>
      <w:tr w:rsidR="00DF4E09" w:rsidRPr="00DF4E09" w:rsidTr="00DF4E09">
        <w:trPr>
          <w:jc w:val="center"/>
        </w:trPr>
        <w:tc>
          <w:tcPr>
            <w:tcW w:w="5920" w:type="dxa"/>
            <w:tcBorders>
              <w:bottom w:val="single" w:sz="4" w:space="0" w:color="auto"/>
            </w:tcBorders>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Ingresos por recuperar a corto plazo</w:t>
            </w:r>
          </w:p>
        </w:tc>
        <w:tc>
          <w:tcPr>
            <w:tcW w:w="2268" w:type="dxa"/>
            <w:tcBorders>
              <w:bottom w:val="single" w:sz="4" w:space="0" w:color="auto"/>
            </w:tcBorders>
            <w:vAlign w:val="center"/>
          </w:tcPr>
          <w:p w:rsidR="00DF4E09" w:rsidRPr="00DF4E09" w:rsidRDefault="00DF4E09" w:rsidP="003965BF">
            <w:pPr>
              <w:jc w:val="right"/>
              <w:rPr>
                <w:rFonts w:ascii="Arial" w:hAnsi="Arial" w:cs="Arial"/>
                <w:sz w:val="20"/>
                <w:szCs w:val="20"/>
                <w:lang w:val="es-ES"/>
              </w:rPr>
            </w:pPr>
            <w:r w:rsidRPr="00DF4E09">
              <w:rPr>
                <w:rFonts w:ascii="Arial" w:hAnsi="Arial" w:cs="Arial"/>
                <w:sz w:val="20"/>
                <w:szCs w:val="20"/>
                <w:lang w:val="es-ES"/>
              </w:rPr>
              <w:t xml:space="preserve">         310,184.00 </w:t>
            </w:r>
          </w:p>
        </w:tc>
      </w:tr>
      <w:tr w:rsidR="0003507C" w:rsidRPr="00DF4E09" w:rsidTr="00DF4E09">
        <w:trPr>
          <w:jc w:val="center"/>
        </w:trPr>
        <w:tc>
          <w:tcPr>
            <w:tcW w:w="5920" w:type="dxa"/>
            <w:tcBorders>
              <w:bottom w:val="single" w:sz="4" w:space="0" w:color="auto"/>
            </w:tcBorders>
          </w:tcPr>
          <w:p w:rsidR="0003507C" w:rsidRPr="00DF4E09" w:rsidRDefault="0003507C" w:rsidP="003965BF">
            <w:pPr>
              <w:jc w:val="both"/>
              <w:rPr>
                <w:rFonts w:ascii="Arial" w:hAnsi="Arial" w:cs="Arial"/>
                <w:sz w:val="20"/>
                <w:szCs w:val="20"/>
              </w:rPr>
            </w:pPr>
            <w:r>
              <w:rPr>
                <w:rFonts w:ascii="Arial" w:hAnsi="Arial" w:cs="Arial"/>
                <w:sz w:val="20"/>
                <w:szCs w:val="20"/>
              </w:rPr>
              <w:t>Otros Derechos a recibir efectivo</w:t>
            </w:r>
          </w:p>
        </w:tc>
        <w:tc>
          <w:tcPr>
            <w:tcW w:w="2268" w:type="dxa"/>
            <w:tcBorders>
              <w:bottom w:val="single" w:sz="4" w:space="0" w:color="auto"/>
            </w:tcBorders>
            <w:vAlign w:val="center"/>
          </w:tcPr>
          <w:p w:rsidR="0003507C" w:rsidRPr="00DF4E09" w:rsidRDefault="00E655D5" w:rsidP="006E0FE4">
            <w:pPr>
              <w:jc w:val="right"/>
              <w:rPr>
                <w:rFonts w:ascii="Arial" w:hAnsi="Arial" w:cs="Arial"/>
                <w:sz w:val="20"/>
                <w:szCs w:val="20"/>
              </w:rPr>
            </w:pPr>
            <w:r>
              <w:rPr>
                <w:rFonts w:ascii="Arial" w:hAnsi="Arial" w:cs="Arial"/>
                <w:sz w:val="20"/>
                <w:szCs w:val="20"/>
              </w:rPr>
              <w:t>90,119.81</w:t>
            </w:r>
          </w:p>
        </w:tc>
      </w:tr>
      <w:tr w:rsidR="00DF4E09" w:rsidRPr="00DF4E09" w:rsidTr="00DF4E09">
        <w:trPr>
          <w:jc w:val="center"/>
        </w:trPr>
        <w:tc>
          <w:tcPr>
            <w:tcW w:w="5920" w:type="dxa"/>
            <w:tcBorders>
              <w:bottom w:val="single" w:sz="4" w:space="0" w:color="auto"/>
            </w:tcBorders>
          </w:tcPr>
          <w:p w:rsidR="00DF4E09" w:rsidRPr="00DF4E09" w:rsidRDefault="00DF4E09" w:rsidP="003965BF">
            <w:pPr>
              <w:jc w:val="right"/>
              <w:rPr>
                <w:rFonts w:ascii="Arial" w:hAnsi="Arial" w:cs="Arial"/>
                <w:b/>
                <w:sz w:val="20"/>
                <w:szCs w:val="20"/>
                <w:lang w:val="es-ES"/>
              </w:rPr>
            </w:pPr>
            <w:r w:rsidRPr="00DF4E09">
              <w:rPr>
                <w:rFonts w:ascii="Arial" w:hAnsi="Arial" w:cs="Arial"/>
                <w:b/>
                <w:sz w:val="20"/>
                <w:szCs w:val="20"/>
                <w:lang w:val="es-ES"/>
              </w:rPr>
              <w:t>Total  de Derechos a recibir efectivo o equivalente</w:t>
            </w:r>
          </w:p>
        </w:tc>
        <w:tc>
          <w:tcPr>
            <w:tcW w:w="2268" w:type="dxa"/>
            <w:tcBorders>
              <w:bottom w:val="single" w:sz="4" w:space="0" w:color="auto"/>
            </w:tcBorders>
          </w:tcPr>
          <w:p w:rsidR="00DF4E09" w:rsidRPr="00DF4E09" w:rsidRDefault="006E0FE4" w:rsidP="006E0FE4">
            <w:pPr>
              <w:jc w:val="right"/>
              <w:rPr>
                <w:rFonts w:ascii="Arial" w:hAnsi="Arial" w:cs="Arial"/>
                <w:b/>
                <w:sz w:val="20"/>
                <w:szCs w:val="20"/>
                <w:lang w:val="es-ES"/>
              </w:rPr>
            </w:pPr>
            <w:r>
              <w:rPr>
                <w:rFonts w:ascii="Arial" w:hAnsi="Arial" w:cs="Arial"/>
                <w:b/>
                <w:sz w:val="20"/>
                <w:szCs w:val="20"/>
                <w:lang w:val="es-ES"/>
              </w:rPr>
              <w:t>2</w:t>
            </w:r>
            <w:r w:rsidR="00E655D5">
              <w:rPr>
                <w:rFonts w:ascii="Arial" w:hAnsi="Arial" w:cs="Arial"/>
                <w:b/>
                <w:sz w:val="20"/>
                <w:szCs w:val="20"/>
                <w:lang w:val="es-ES"/>
              </w:rPr>
              <w:t>,221,606.71</w:t>
            </w:r>
          </w:p>
        </w:tc>
      </w:tr>
    </w:tbl>
    <w:p w:rsidR="00DF4E09" w:rsidRPr="00DF4E09" w:rsidRDefault="00DF4E09" w:rsidP="00DF4E09">
      <w:pPr>
        <w:pStyle w:val="Prrafodelista"/>
        <w:spacing w:after="0"/>
        <w:ind w:left="0"/>
        <w:jc w:val="both"/>
        <w:rPr>
          <w:rFonts w:ascii="Arial" w:hAnsi="Arial" w:cs="Arial"/>
          <w:sz w:val="20"/>
          <w:szCs w:val="20"/>
          <w:lang w:val="es-ES"/>
        </w:rPr>
      </w:pPr>
    </w:p>
    <w:p w:rsidR="00811F4B" w:rsidRDefault="00811F4B"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 xml:space="preserve">En el concepto de cuentas por cobrar a corto plazo se tiene un saldo a cargo del Gobierno del Estado por concepto de servicio de conexión a internet prestado a la Secretaria de Educación y </w:t>
      </w:r>
      <w:r w:rsidR="0052305F">
        <w:rPr>
          <w:rFonts w:ascii="Arial" w:hAnsi="Arial" w:cs="Arial"/>
          <w:sz w:val="20"/>
          <w:szCs w:val="20"/>
          <w:lang w:val="es-ES"/>
        </w:rPr>
        <w:t>Cultura que representa más del 69</w:t>
      </w:r>
      <w:r w:rsidRPr="00DF4E09">
        <w:rPr>
          <w:rFonts w:ascii="Arial" w:hAnsi="Arial" w:cs="Arial"/>
          <w:sz w:val="20"/>
          <w:szCs w:val="20"/>
          <w:lang w:val="es-ES"/>
        </w:rPr>
        <w:t xml:space="preserve">% del total, así mismo el mismo Gobierno del Estado tiene un saldo por concepto de retención efectuada a Municipios por servicio de conexión a internet, radiocomunicación y servicio telefónico brindado por este Organismo a diversos municipios del estado cantidad que representa más del </w:t>
      </w:r>
      <w:r w:rsidR="0052305F">
        <w:rPr>
          <w:rFonts w:ascii="Arial" w:hAnsi="Arial" w:cs="Arial"/>
          <w:sz w:val="20"/>
          <w:szCs w:val="20"/>
          <w:lang w:val="es-ES"/>
        </w:rPr>
        <w:t>7</w:t>
      </w:r>
      <w:r w:rsidRPr="00DF4E09">
        <w:rPr>
          <w:rFonts w:ascii="Arial" w:hAnsi="Arial" w:cs="Arial"/>
          <w:sz w:val="20"/>
          <w:szCs w:val="20"/>
          <w:lang w:val="es-ES"/>
        </w:rPr>
        <w:t xml:space="preserve">%, la cantidad restante incluye entre otros el Saldo pendiente de pago por servicios brindados durante 2013 por este Organismo a IFODES y que representa más del </w:t>
      </w:r>
      <w:r w:rsidR="00DA66DF">
        <w:rPr>
          <w:rFonts w:ascii="Arial" w:hAnsi="Arial" w:cs="Arial"/>
          <w:sz w:val="20"/>
          <w:szCs w:val="20"/>
          <w:lang w:val="es-ES"/>
        </w:rPr>
        <w:t>18</w:t>
      </w:r>
      <w:r w:rsidRPr="00DF4E09">
        <w:rPr>
          <w:rFonts w:ascii="Arial" w:hAnsi="Arial" w:cs="Arial"/>
          <w:sz w:val="20"/>
          <w:szCs w:val="20"/>
          <w:lang w:val="es-ES"/>
        </w:rPr>
        <w:t>% del importe de este rubro. El concepto de deudores diversos por cobrar considera en su mayoría recursos entregados al personal de este Organismo para la realización de comisiones. La cuenta otros derechos a recibir efectivo  se integra en mayor parte por IVA pendiente de recuperar y enterar.</w:t>
      </w:r>
    </w:p>
    <w:p w:rsidR="003E185A" w:rsidRDefault="003E185A" w:rsidP="00DF4E09">
      <w:pPr>
        <w:ind w:firstLine="708"/>
        <w:rPr>
          <w:rFonts w:ascii="Arial" w:hAnsi="Arial" w:cs="Arial"/>
          <w:b/>
          <w:sz w:val="20"/>
          <w:szCs w:val="20"/>
        </w:rPr>
      </w:pPr>
    </w:p>
    <w:p w:rsidR="00DF4E09" w:rsidRPr="00DF4E09" w:rsidRDefault="00DF4E09" w:rsidP="003E185A">
      <w:pPr>
        <w:rPr>
          <w:rFonts w:ascii="Arial" w:hAnsi="Arial" w:cs="Arial"/>
          <w:b/>
          <w:sz w:val="20"/>
          <w:szCs w:val="20"/>
        </w:rPr>
      </w:pPr>
      <w:r w:rsidRPr="00DF4E09">
        <w:rPr>
          <w:rFonts w:ascii="Arial" w:hAnsi="Arial" w:cs="Arial"/>
          <w:b/>
          <w:sz w:val="20"/>
          <w:szCs w:val="20"/>
        </w:rPr>
        <w:t>Bienes disponibles para su Transformación o Consumo</w:t>
      </w:r>
    </w:p>
    <w:p w:rsidR="003E185A" w:rsidRDefault="003E185A"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 xml:space="preserve">Este Organismo no cuenta con inventarios ya sea por dedicarse a brindar servicios así como a que las adquisiciones de materiales se </w:t>
      </w:r>
      <w:r w:rsidR="00811F4B" w:rsidRPr="00DF4E09">
        <w:rPr>
          <w:rFonts w:ascii="Arial" w:hAnsi="Arial" w:cs="Arial"/>
          <w:sz w:val="20"/>
          <w:szCs w:val="20"/>
          <w:lang w:val="es-ES"/>
        </w:rPr>
        <w:t>realizansolo</w:t>
      </w:r>
      <w:r w:rsidRPr="00DF4E09">
        <w:rPr>
          <w:rFonts w:ascii="Arial" w:hAnsi="Arial" w:cs="Arial"/>
          <w:sz w:val="20"/>
          <w:szCs w:val="20"/>
          <w:lang w:val="es-ES"/>
        </w:rPr>
        <w:t xml:space="preserve"> cuando se va a utilizar debido a que se cuenta con poco lugar para su almacenaje.</w:t>
      </w:r>
    </w:p>
    <w:p w:rsidR="00DA66DF" w:rsidRDefault="00DA66DF" w:rsidP="003E185A">
      <w:pPr>
        <w:jc w:val="both"/>
        <w:rPr>
          <w:rFonts w:ascii="Arial" w:hAnsi="Arial" w:cs="Arial"/>
          <w:b/>
          <w:sz w:val="20"/>
          <w:szCs w:val="20"/>
        </w:rPr>
      </w:pPr>
    </w:p>
    <w:p w:rsidR="00DF4E09" w:rsidRPr="003E185A" w:rsidRDefault="00DF4E09" w:rsidP="003E185A">
      <w:pPr>
        <w:jc w:val="both"/>
        <w:rPr>
          <w:rFonts w:ascii="Arial" w:hAnsi="Arial" w:cs="Arial"/>
          <w:b/>
          <w:sz w:val="20"/>
          <w:szCs w:val="20"/>
        </w:rPr>
      </w:pPr>
      <w:r w:rsidRPr="003E185A">
        <w:rPr>
          <w:rFonts w:ascii="Arial" w:hAnsi="Arial" w:cs="Arial"/>
          <w:b/>
          <w:sz w:val="20"/>
          <w:szCs w:val="20"/>
        </w:rPr>
        <w:t>Inversiones Financieras</w:t>
      </w:r>
    </w:p>
    <w:p w:rsidR="003E185A" w:rsidRDefault="003E185A" w:rsidP="00DF4E09">
      <w:pPr>
        <w:pStyle w:val="Prrafodelista"/>
        <w:spacing w:after="0"/>
        <w:ind w:left="0"/>
        <w:jc w:val="both"/>
        <w:rPr>
          <w:rFonts w:ascii="Arial" w:hAnsi="Arial" w:cs="Arial"/>
          <w:sz w:val="20"/>
          <w:szCs w:val="20"/>
          <w:lang w:val="es-ES"/>
        </w:rPr>
      </w:pPr>
    </w:p>
    <w:p w:rsidR="00DF4E09"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Inversiones Financieras no aplica debido a que este Organismo no cuenta con Inversiones financieras.</w:t>
      </w:r>
    </w:p>
    <w:p w:rsidR="003E185A" w:rsidRPr="00DF7493" w:rsidRDefault="003E185A" w:rsidP="00DF7493">
      <w:pPr>
        <w:jc w:val="both"/>
        <w:rPr>
          <w:rFonts w:ascii="Arial" w:hAnsi="Arial" w:cs="Arial"/>
          <w:sz w:val="20"/>
          <w:szCs w:val="20"/>
        </w:rPr>
      </w:pPr>
    </w:p>
    <w:p w:rsidR="00811F4B" w:rsidRDefault="00811F4B" w:rsidP="003E185A">
      <w:pPr>
        <w:jc w:val="both"/>
        <w:rPr>
          <w:rFonts w:ascii="Arial" w:hAnsi="Arial" w:cs="Arial"/>
          <w:b/>
          <w:sz w:val="20"/>
          <w:szCs w:val="20"/>
        </w:rPr>
      </w:pPr>
    </w:p>
    <w:p w:rsidR="00DF4E09" w:rsidRPr="003E185A" w:rsidRDefault="003E185A" w:rsidP="003E185A">
      <w:pPr>
        <w:jc w:val="both"/>
        <w:rPr>
          <w:rFonts w:ascii="Arial" w:hAnsi="Arial" w:cs="Arial"/>
          <w:sz w:val="20"/>
          <w:szCs w:val="20"/>
        </w:rPr>
      </w:pPr>
      <w:r>
        <w:rPr>
          <w:rFonts w:ascii="Arial" w:hAnsi="Arial" w:cs="Arial"/>
          <w:b/>
          <w:sz w:val="20"/>
          <w:szCs w:val="20"/>
        </w:rPr>
        <w:t xml:space="preserve">Nota 3.- </w:t>
      </w:r>
      <w:r w:rsidR="00DF4E09" w:rsidRPr="003E185A">
        <w:rPr>
          <w:rFonts w:ascii="Arial" w:hAnsi="Arial" w:cs="Arial"/>
          <w:b/>
          <w:sz w:val="20"/>
          <w:szCs w:val="20"/>
        </w:rPr>
        <w:t>Bienes muebles, Inmuebles e Intangibles</w:t>
      </w:r>
    </w:p>
    <w:p w:rsidR="003E185A" w:rsidRDefault="003E185A" w:rsidP="00DF4E09">
      <w:pPr>
        <w:pStyle w:val="Prrafodelista"/>
        <w:spacing w:after="0"/>
        <w:ind w:left="0"/>
        <w:jc w:val="both"/>
        <w:rPr>
          <w:rFonts w:ascii="Arial" w:hAnsi="Arial" w:cs="Arial"/>
          <w:sz w:val="20"/>
          <w:szCs w:val="20"/>
          <w:lang w:val="es-ES"/>
        </w:rPr>
      </w:pPr>
    </w:p>
    <w:p w:rsidR="003E185A" w:rsidRPr="00DF4E09" w:rsidRDefault="00DF4E09" w:rsidP="00DF4E09">
      <w:pPr>
        <w:pStyle w:val="Prrafodelista"/>
        <w:spacing w:after="0"/>
        <w:ind w:left="0"/>
        <w:jc w:val="both"/>
        <w:rPr>
          <w:rFonts w:ascii="Arial" w:hAnsi="Arial" w:cs="Arial"/>
          <w:sz w:val="20"/>
          <w:szCs w:val="20"/>
          <w:lang w:val="es-ES"/>
        </w:rPr>
      </w:pPr>
      <w:r w:rsidRPr="00DF4E09">
        <w:rPr>
          <w:rFonts w:ascii="Arial" w:hAnsi="Arial" w:cs="Arial"/>
          <w:sz w:val="20"/>
          <w:szCs w:val="20"/>
          <w:lang w:val="es-ES"/>
        </w:rPr>
        <w:t>Bienes muebles, Inmuebles e Intangibles.</w:t>
      </w:r>
    </w:p>
    <w:tbl>
      <w:tblPr>
        <w:tblStyle w:val="Tablaconcuadrcula"/>
        <w:tblW w:w="0" w:type="auto"/>
        <w:tblLook w:val="04A0"/>
      </w:tblPr>
      <w:tblGrid>
        <w:gridCol w:w="7905"/>
        <w:gridCol w:w="1275"/>
      </w:tblGrid>
      <w:tr w:rsidR="00DF4E09" w:rsidRPr="00DF4E09" w:rsidTr="008E4566">
        <w:tc>
          <w:tcPr>
            <w:tcW w:w="7905" w:type="dxa"/>
            <w:tcBorders>
              <w:bottom w:val="single" w:sz="4" w:space="0" w:color="auto"/>
            </w:tcBorders>
            <w:vAlign w:val="center"/>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lastRenderedPageBreak/>
              <w:t>Bienes Inmuebles</w:t>
            </w:r>
          </w:p>
        </w:tc>
        <w:tc>
          <w:tcPr>
            <w:tcW w:w="1275" w:type="dxa"/>
            <w:vAlign w:val="center"/>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8E4566">
        <w:tc>
          <w:tcPr>
            <w:tcW w:w="7905" w:type="dxa"/>
            <w:tcBorders>
              <w:bottom w:val="single" w:sz="4" w:space="0" w:color="auto"/>
            </w:tcBorders>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Infraestructura de Telecomunicaciones.- 1 Caseta de block de 6 x 6 metros construida en el bachan (Repetidor de Mazatán) con el fin de albergar al equipo repetidor</w:t>
            </w:r>
          </w:p>
        </w:tc>
        <w:tc>
          <w:tcPr>
            <w:tcW w:w="1275" w:type="dxa"/>
            <w:tcBorders>
              <w:bottom w:val="single" w:sz="4" w:space="0" w:color="auto"/>
            </w:tcBorders>
          </w:tcPr>
          <w:p w:rsidR="00DF4E09" w:rsidRPr="00DF4E09" w:rsidRDefault="00DF4E09" w:rsidP="003965BF">
            <w:pPr>
              <w:pStyle w:val="Prrafodelista"/>
              <w:ind w:left="0"/>
              <w:jc w:val="right"/>
              <w:rPr>
                <w:rFonts w:ascii="Arial" w:hAnsi="Arial" w:cs="Arial"/>
                <w:sz w:val="20"/>
                <w:szCs w:val="20"/>
                <w:lang w:val="es-ES"/>
              </w:rPr>
            </w:pPr>
            <w:r w:rsidRPr="00DF4E09">
              <w:rPr>
                <w:rFonts w:ascii="Arial" w:hAnsi="Arial" w:cs="Arial"/>
                <w:sz w:val="20"/>
                <w:szCs w:val="20"/>
                <w:lang w:val="es-ES"/>
              </w:rPr>
              <w:t>86,000.00</w:t>
            </w:r>
          </w:p>
        </w:tc>
      </w:tr>
      <w:tr w:rsidR="00DF4E09" w:rsidRPr="00DF4E09" w:rsidTr="008E4566">
        <w:tc>
          <w:tcPr>
            <w:tcW w:w="7905" w:type="dxa"/>
            <w:tcBorders>
              <w:top w:val="single" w:sz="4" w:space="0" w:color="auto"/>
              <w:left w:val="nil"/>
              <w:bottom w:val="nil"/>
              <w:right w:val="single" w:sz="4" w:space="0" w:color="auto"/>
            </w:tcBorders>
          </w:tcPr>
          <w:p w:rsidR="00DF4E09" w:rsidRPr="00DF4E09" w:rsidRDefault="00DF4E09" w:rsidP="003965BF">
            <w:pPr>
              <w:pStyle w:val="Prrafodelista"/>
              <w:ind w:left="0"/>
              <w:jc w:val="both"/>
              <w:rPr>
                <w:rFonts w:ascii="Arial" w:hAnsi="Arial" w:cs="Arial"/>
                <w:sz w:val="20"/>
                <w:szCs w:val="20"/>
                <w:lang w:val="es-ES"/>
              </w:rPr>
            </w:pPr>
          </w:p>
        </w:tc>
        <w:tc>
          <w:tcPr>
            <w:tcW w:w="1275" w:type="dxa"/>
            <w:tcBorders>
              <w:left w:val="single" w:sz="4" w:space="0" w:color="auto"/>
            </w:tcBorders>
          </w:tcPr>
          <w:p w:rsidR="00DF4E09" w:rsidRPr="00DF4E09" w:rsidRDefault="00DF4E09" w:rsidP="003965BF">
            <w:pPr>
              <w:pStyle w:val="Prrafodelista"/>
              <w:ind w:left="0"/>
              <w:jc w:val="right"/>
              <w:rPr>
                <w:rFonts w:ascii="Arial" w:hAnsi="Arial" w:cs="Arial"/>
                <w:b/>
                <w:sz w:val="20"/>
                <w:szCs w:val="20"/>
                <w:lang w:val="es-ES"/>
              </w:rPr>
            </w:pPr>
            <w:r w:rsidRPr="00DF4E09">
              <w:rPr>
                <w:rFonts w:ascii="Arial" w:hAnsi="Arial" w:cs="Arial"/>
                <w:b/>
                <w:sz w:val="20"/>
                <w:szCs w:val="20"/>
                <w:lang w:val="es-ES"/>
              </w:rPr>
              <w:t>86,000.00</w:t>
            </w:r>
          </w:p>
        </w:tc>
      </w:tr>
    </w:tbl>
    <w:p w:rsidR="00DF4E09" w:rsidRPr="00DF4E09" w:rsidRDefault="00DF4E09" w:rsidP="00DF4E09">
      <w:pPr>
        <w:pStyle w:val="Prrafodelista"/>
        <w:spacing w:after="0"/>
        <w:ind w:left="0"/>
        <w:jc w:val="both"/>
        <w:rPr>
          <w:rFonts w:ascii="Arial" w:hAnsi="Arial" w:cs="Arial"/>
          <w:sz w:val="20"/>
          <w:szCs w:val="20"/>
          <w:lang w:val="es-ES"/>
        </w:rPr>
      </w:pPr>
    </w:p>
    <w:tbl>
      <w:tblPr>
        <w:tblStyle w:val="Tablaconcuadrcula"/>
        <w:tblW w:w="0" w:type="auto"/>
        <w:tblLook w:val="04A0"/>
      </w:tblPr>
      <w:tblGrid>
        <w:gridCol w:w="7338"/>
        <w:gridCol w:w="1640"/>
      </w:tblGrid>
      <w:tr w:rsidR="00DF4E09" w:rsidRPr="00DF4E09" w:rsidTr="003965BF">
        <w:tc>
          <w:tcPr>
            <w:tcW w:w="7338" w:type="dxa"/>
            <w:vAlign w:val="center"/>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Bienes Muebles</w:t>
            </w:r>
          </w:p>
        </w:tc>
        <w:tc>
          <w:tcPr>
            <w:tcW w:w="1640" w:type="dxa"/>
            <w:vAlign w:val="center"/>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3965BF">
        <w:tc>
          <w:tcPr>
            <w:tcW w:w="7338" w:type="dxa"/>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Muebles de Oficina y Estantería</w:t>
            </w:r>
          </w:p>
        </w:tc>
        <w:tc>
          <w:tcPr>
            <w:tcW w:w="1640" w:type="dxa"/>
          </w:tcPr>
          <w:p w:rsidR="00DF4E09" w:rsidRPr="00DF4E09" w:rsidRDefault="00E655D5" w:rsidP="00363BE2">
            <w:pPr>
              <w:pStyle w:val="Prrafodelista"/>
              <w:ind w:left="0"/>
              <w:jc w:val="right"/>
              <w:rPr>
                <w:rFonts w:ascii="Arial" w:hAnsi="Arial" w:cs="Arial"/>
                <w:sz w:val="20"/>
                <w:szCs w:val="20"/>
                <w:lang w:val="es-ES"/>
              </w:rPr>
            </w:pPr>
            <w:r>
              <w:rPr>
                <w:rFonts w:ascii="Arial" w:hAnsi="Arial" w:cs="Arial"/>
                <w:sz w:val="20"/>
                <w:szCs w:val="20"/>
                <w:lang w:val="es-ES"/>
              </w:rPr>
              <w:t>138,122.34</w:t>
            </w:r>
          </w:p>
        </w:tc>
      </w:tr>
      <w:tr w:rsidR="00DF4E09" w:rsidRPr="00DF4E09" w:rsidTr="003965BF">
        <w:tc>
          <w:tcPr>
            <w:tcW w:w="7338" w:type="dxa"/>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Equipo de Cómputo y Tecnologías de la Información</w:t>
            </w:r>
          </w:p>
        </w:tc>
        <w:tc>
          <w:tcPr>
            <w:tcW w:w="1640" w:type="dxa"/>
          </w:tcPr>
          <w:p w:rsidR="00DF4E09" w:rsidRPr="00DF4E09" w:rsidRDefault="00363BE2" w:rsidP="003965BF">
            <w:pPr>
              <w:pStyle w:val="Prrafodelista"/>
              <w:ind w:left="0"/>
              <w:jc w:val="right"/>
              <w:rPr>
                <w:rFonts w:ascii="Arial" w:hAnsi="Arial" w:cs="Arial"/>
                <w:sz w:val="20"/>
                <w:szCs w:val="20"/>
                <w:lang w:val="es-ES"/>
              </w:rPr>
            </w:pPr>
            <w:r>
              <w:rPr>
                <w:rFonts w:ascii="Arial" w:hAnsi="Arial" w:cs="Arial"/>
                <w:sz w:val="20"/>
                <w:szCs w:val="20"/>
                <w:lang w:val="es-ES"/>
              </w:rPr>
              <w:t>2</w:t>
            </w:r>
            <w:r w:rsidR="00DF7493">
              <w:rPr>
                <w:rFonts w:ascii="Arial" w:hAnsi="Arial" w:cs="Arial"/>
                <w:sz w:val="20"/>
                <w:szCs w:val="20"/>
                <w:lang w:val="es-ES"/>
              </w:rPr>
              <w:t>55,914.14</w:t>
            </w:r>
          </w:p>
        </w:tc>
      </w:tr>
      <w:tr w:rsidR="00DF4E09" w:rsidRPr="00DF4E09" w:rsidTr="003965BF">
        <w:tc>
          <w:tcPr>
            <w:tcW w:w="7338" w:type="dxa"/>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Automóviles y Equipo Terrestre</w:t>
            </w:r>
          </w:p>
        </w:tc>
        <w:tc>
          <w:tcPr>
            <w:tcW w:w="1640" w:type="dxa"/>
          </w:tcPr>
          <w:p w:rsidR="00DF4E09" w:rsidRPr="00DF4E09" w:rsidRDefault="00DF4E09" w:rsidP="003965BF">
            <w:pPr>
              <w:pStyle w:val="Prrafodelista"/>
              <w:ind w:left="0"/>
              <w:jc w:val="right"/>
              <w:rPr>
                <w:rFonts w:ascii="Arial" w:hAnsi="Arial" w:cs="Arial"/>
                <w:sz w:val="20"/>
                <w:szCs w:val="20"/>
                <w:lang w:val="es-ES"/>
              </w:rPr>
            </w:pPr>
            <w:r w:rsidRPr="00DF4E09">
              <w:rPr>
                <w:rFonts w:ascii="Arial" w:hAnsi="Arial" w:cs="Arial"/>
                <w:sz w:val="20"/>
                <w:szCs w:val="20"/>
                <w:lang w:val="es-ES"/>
              </w:rPr>
              <w:t>475,000.00</w:t>
            </w:r>
          </w:p>
        </w:tc>
      </w:tr>
      <w:tr w:rsidR="00DF4E09" w:rsidRPr="00DF4E09" w:rsidTr="003965BF">
        <w:tc>
          <w:tcPr>
            <w:tcW w:w="7338" w:type="dxa"/>
          </w:tcPr>
          <w:p w:rsidR="00DF4E09" w:rsidRPr="00DF4E09" w:rsidRDefault="00DF4E09" w:rsidP="003965BF">
            <w:pPr>
              <w:pStyle w:val="Prrafodelista"/>
              <w:ind w:left="0"/>
              <w:jc w:val="both"/>
              <w:rPr>
                <w:rFonts w:ascii="Arial" w:hAnsi="Arial" w:cs="Arial"/>
                <w:sz w:val="20"/>
                <w:szCs w:val="20"/>
                <w:lang w:val="es-ES"/>
              </w:rPr>
            </w:pPr>
            <w:r w:rsidRPr="00DF4E09">
              <w:rPr>
                <w:rFonts w:ascii="Arial" w:hAnsi="Arial" w:cs="Arial"/>
                <w:sz w:val="20"/>
                <w:szCs w:val="20"/>
                <w:lang w:val="es-ES"/>
              </w:rPr>
              <w:t>Equipo de Comunicación y Telecomunicación</w:t>
            </w:r>
          </w:p>
        </w:tc>
        <w:tc>
          <w:tcPr>
            <w:tcW w:w="1640" w:type="dxa"/>
          </w:tcPr>
          <w:p w:rsidR="003E185A" w:rsidRPr="00DF4E09" w:rsidRDefault="00DF4E09" w:rsidP="003E185A">
            <w:pPr>
              <w:pStyle w:val="Prrafodelista"/>
              <w:ind w:left="0"/>
              <w:jc w:val="right"/>
              <w:rPr>
                <w:rFonts w:ascii="Arial" w:hAnsi="Arial" w:cs="Arial"/>
                <w:sz w:val="20"/>
                <w:szCs w:val="20"/>
                <w:lang w:val="es-ES"/>
              </w:rPr>
            </w:pPr>
            <w:r w:rsidRPr="00DF4E09">
              <w:rPr>
                <w:rFonts w:ascii="Arial" w:hAnsi="Arial" w:cs="Arial"/>
                <w:sz w:val="20"/>
                <w:szCs w:val="20"/>
                <w:lang w:val="es-ES"/>
              </w:rPr>
              <w:t>10,</w:t>
            </w:r>
            <w:r w:rsidR="00E655D5">
              <w:rPr>
                <w:rFonts w:ascii="Arial" w:hAnsi="Arial" w:cs="Arial"/>
                <w:sz w:val="20"/>
                <w:szCs w:val="20"/>
                <w:lang w:val="es-ES"/>
              </w:rPr>
              <w:t>801,191.83</w:t>
            </w:r>
          </w:p>
        </w:tc>
      </w:tr>
      <w:tr w:rsidR="00DF4E09" w:rsidRPr="00DF4E09" w:rsidTr="003965BF">
        <w:tc>
          <w:tcPr>
            <w:tcW w:w="7338" w:type="dxa"/>
            <w:tcBorders>
              <w:top w:val="single" w:sz="4" w:space="0" w:color="auto"/>
              <w:left w:val="nil"/>
              <w:bottom w:val="nil"/>
              <w:right w:val="single" w:sz="4" w:space="0" w:color="auto"/>
            </w:tcBorders>
          </w:tcPr>
          <w:p w:rsidR="00DF4E09" w:rsidRPr="00DF4E09" w:rsidRDefault="00DF4E09" w:rsidP="003965BF">
            <w:pPr>
              <w:pStyle w:val="Prrafodelista"/>
              <w:ind w:left="0"/>
              <w:jc w:val="both"/>
              <w:rPr>
                <w:rFonts w:ascii="Arial" w:hAnsi="Arial" w:cs="Arial"/>
                <w:sz w:val="20"/>
                <w:szCs w:val="20"/>
                <w:lang w:val="es-ES"/>
              </w:rPr>
            </w:pPr>
          </w:p>
        </w:tc>
        <w:tc>
          <w:tcPr>
            <w:tcW w:w="1640" w:type="dxa"/>
            <w:tcBorders>
              <w:left w:val="single" w:sz="4" w:space="0" w:color="auto"/>
            </w:tcBorders>
          </w:tcPr>
          <w:p w:rsidR="00DF4E09" w:rsidRPr="00DF4E09" w:rsidRDefault="00DA66DF" w:rsidP="0052305F">
            <w:pPr>
              <w:pStyle w:val="Prrafodelista"/>
              <w:ind w:left="0"/>
              <w:jc w:val="right"/>
              <w:rPr>
                <w:rFonts w:ascii="Arial" w:hAnsi="Arial" w:cs="Arial"/>
                <w:b/>
                <w:sz w:val="20"/>
                <w:szCs w:val="20"/>
                <w:lang w:val="es-ES"/>
              </w:rPr>
            </w:pPr>
            <w:r>
              <w:rPr>
                <w:rFonts w:ascii="Arial" w:hAnsi="Arial" w:cs="Arial"/>
                <w:b/>
                <w:sz w:val="20"/>
                <w:szCs w:val="20"/>
                <w:lang w:val="es-ES"/>
              </w:rPr>
              <w:t>11,</w:t>
            </w:r>
            <w:r w:rsidR="0052305F">
              <w:rPr>
                <w:rFonts w:ascii="Arial" w:hAnsi="Arial" w:cs="Arial"/>
                <w:b/>
                <w:sz w:val="20"/>
                <w:szCs w:val="20"/>
                <w:lang w:val="es-ES"/>
              </w:rPr>
              <w:t>670,228.31</w:t>
            </w:r>
          </w:p>
        </w:tc>
      </w:tr>
    </w:tbl>
    <w:p w:rsidR="00C62E93" w:rsidRDefault="00C62E93" w:rsidP="00DF4E09">
      <w:pPr>
        <w:pStyle w:val="Prrafodelista"/>
        <w:spacing w:after="0"/>
        <w:ind w:left="0"/>
        <w:jc w:val="both"/>
        <w:rPr>
          <w:rFonts w:ascii="Arial" w:hAnsi="Arial" w:cs="Arial"/>
          <w:sz w:val="20"/>
          <w:szCs w:val="20"/>
          <w:lang w:val="es-ES"/>
        </w:rPr>
      </w:pPr>
    </w:p>
    <w:p w:rsidR="00DF4E09" w:rsidRPr="00DF4E09" w:rsidRDefault="00737AB0" w:rsidP="00DF4E09">
      <w:pPr>
        <w:pStyle w:val="Prrafodelista"/>
        <w:spacing w:after="0"/>
        <w:ind w:left="0"/>
        <w:jc w:val="both"/>
        <w:rPr>
          <w:rFonts w:ascii="Arial" w:hAnsi="Arial" w:cs="Arial"/>
          <w:sz w:val="20"/>
          <w:szCs w:val="20"/>
          <w:lang w:val="es-ES"/>
        </w:rPr>
      </w:pPr>
      <w:r>
        <w:rPr>
          <w:rFonts w:ascii="Arial" w:hAnsi="Arial" w:cs="Arial"/>
          <w:sz w:val="20"/>
          <w:szCs w:val="20"/>
          <w:lang w:val="es-ES"/>
        </w:rPr>
        <w:t>En el periodo enero- junio</w:t>
      </w:r>
      <w:r w:rsidR="003965BF">
        <w:rPr>
          <w:rFonts w:ascii="Arial" w:hAnsi="Arial" w:cs="Arial"/>
          <w:sz w:val="20"/>
          <w:szCs w:val="20"/>
          <w:lang w:val="es-ES"/>
        </w:rPr>
        <w:t xml:space="preserve"> de 2016, se registró la depreciación de bienes, por la cantidad de $ </w:t>
      </w:r>
      <w:r>
        <w:rPr>
          <w:rFonts w:ascii="Arial" w:hAnsi="Arial" w:cs="Arial"/>
          <w:sz w:val="20"/>
          <w:szCs w:val="20"/>
          <w:lang w:val="es-ES"/>
        </w:rPr>
        <w:t>95,193.49</w:t>
      </w:r>
      <w:r w:rsidR="00C62E93">
        <w:rPr>
          <w:rFonts w:ascii="Arial" w:hAnsi="Arial" w:cs="Arial"/>
          <w:sz w:val="20"/>
          <w:szCs w:val="20"/>
          <w:lang w:val="es-ES"/>
        </w:rPr>
        <w:t>, con una depreciación acumulada de $ 8,6</w:t>
      </w:r>
      <w:r w:rsidR="0052305F">
        <w:rPr>
          <w:rFonts w:ascii="Arial" w:hAnsi="Arial" w:cs="Arial"/>
          <w:sz w:val="20"/>
          <w:szCs w:val="20"/>
          <w:lang w:val="es-ES"/>
        </w:rPr>
        <w:t>94</w:t>
      </w:r>
      <w:r w:rsidR="00C62E93">
        <w:rPr>
          <w:rFonts w:ascii="Arial" w:hAnsi="Arial" w:cs="Arial"/>
          <w:sz w:val="20"/>
          <w:szCs w:val="20"/>
          <w:lang w:val="es-ES"/>
        </w:rPr>
        <w:t>,</w:t>
      </w:r>
      <w:r w:rsidR="0052305F">
        <w:rPr>
          <w:rFonts w:ascii="Arial" w:hAnsi="Arial" w:cs="Arial"/>
          <w:sz w:val="20"/>
          <w:szCs w:val="20"/>
          <w:lang w:val="es-ES"/>
        </w:rPr>
        <w:t>081.90</w:t>
      </w:r>
    </w:p>
    <w:p w:rsidR="00DF4E09" w:rsidRPr="00DF4E09" w:rsidRDefault="00DF4E09" w:rsidP="00DF4E09">
      <w:pPr>
        <w:rPr>
          <w:rFonts w:ascii="Arial" w:hAnsi="Arial" w:cs="Arial"/>
          <w:sz w:val="20"/>
          <w:szCs w:val="20"/>
        </w:rPr>
      </w:pPr>
    </w:p>
    <w:p w:rsidR="00DF4E09" w:rsidRPr="00DF4E09" w:rsidRDefault="00DF4E09" w:rsidP="00DF4E09">
      <w:pPr>
        <w:rPr>
          <w:rFonts w:ascii="Arial" w:hAnsi="Arial" w:cs="Arial"/>
          <w:b/>
          <w:bCs/>
          <w:sz w:val="20"/>
          <w:szCs w:val="20"/>
        </w:rPr>
      </w:pPr>
      <w:r w:rsidRPr="00DF4E09">
        <w:rPr>
          <w:rFonts w:ascii="Arial" w:hAnsi="Arial" w:cs="Arial"/>
          <w:b/>
          <w:bCs/>
          <w:sz w:val="20"/>
          <w:szCs w:val="20"/>
        </w:rPr>
        <w:t>Pasivo</w:t>
      </w:r>
    </w:p>
    <w:p w:rsidR="00DF4E09" w:rsidRPr="00DF4E09" w:rsidRDefault="003E185A" w:rsidP="00DF4E09">
      <w:pPr>
        <w:rPr>
          <w:rFonts w:ascii="Arial" w:hAnsi="Arial" w:cs="Arial"/>
          <w:sz w:val="20"/>
          <w:szCs w:val="20"/>
        </w:rPr>
      </w:pPr>
      <w:r w:rsidRPr="004B4EED">
        <w:rPr>
          <w:rFonts w:ascii="Arial" w:hAnsi="Arial" w:cs="Arial"/>
          <w:b/>
          <w:sz w:val="20"/>
          <w:szCs w:val="20"/>
        </w:rPr>
        <w:t>Nota 4.</w:t>
      </w:r>
      <w:r>
        <w:rPr>
          <w:rFonts w:ascii="Arial" w:hAnsi="Arial" w:cs="Arial"/>
          <w:sz w:val="20"/>
          <w:szCs w:val="20"/>
        </w:rPr>
        <w:t xml:space="preserve">- </w:t>
      </w:r>
      <w:r w:rsidR="00DF4E09" w:rsidRPr="00DF4E09">
        <w:rPr>
          <w:rFonts w:ascii="Arial" w:hAnsi="Arial" w:cs="Arial"/>
          <w:sz w:val="20"/>
          <w:szCs w:val="20"/>
        </w:rPr>
        <w:t xml:space="preserve"> Cuentas y Documentos por pagar</w:t>
      </w:r>
    </w:p>
    <w:tbl>
      <w:tblPr>
        <w:tblStyle w:val="Tablaconcuadrcula"/>
        <w:tblW w:w="0" w:type="auto"/>
        <w:tblLook w:val="04A0"/>
      </w:tblPr>
      <w:tblGrid>
        <w:gridCol w:w="6912"/>
        <w:gridCol w:w="2066"/>
      </w:tblGrid>
      <w:tr w:rsidR="00DF4E09" w:rsidRPr="00DF4E09" w:rsidTr="003965BF">
        <w:tc>
          <w:tcPr>
            <w:tcW w:w="6912" w:type="dxa"/>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Cuentas por pagar a corto plazo</w:t>
            </w:r>
          </w:p>
        </w:tc>
        <w:tc>
          <w:tcPr>
            <w:tcW w:w="2066" w:type="dxa"/>
          </w:tcPr>
          <w:p w:rsidR="00DF4E09" w:rsidRPr="00DF4E09" w:rsidRDefault="00DF4E09" w:rsidP="003965BF">
            <w:pPr>
              <w:pStyle w:val="Prrafodelista"/>
              <w:ind w:left="0"/>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3965BF">
        <w:tc>
          <w:tcPr>
            <w:tcW w:w="6912" w:type="dxa"/>
            <w:tcBorders>
              <w:bottom w:val="single" w:sz="4" w:space="0" w:color="auto"/>
            </w:tcBorders>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Proveedores por pagar a corto plazo</w:t>
            </w:r>
          </w:p>
        </w:tc>
        <w:tc>
          <w:tcPr>
            <w:tcW w:w="2066" w:type="dxa"/>
            <w:tcBorders>
              <w:bottom w:val="single" w:sz="4" w:space="0" w:color="auto"/>
            </w:tcBorders>
          </w:tcPr>
          <w:p w:rsidR="00DF4E09" w:rsidRPr="00DF4E09" w:rsidRDefault="00737AB0" w:rsidP="00EF566E">
            <w:pPr>
              <w:jc w:val="right"/>
              <w:rPr>
                <w:rFonts w:ascii="Arial" w:hAnsi="Arial" w:cs="Arial"/>
                <w:sz w:val="20"/>
                <w:szCs w:val="20"/>
                <w:lang w:val="es-ES"/>
              </w:rPr>
            </w:pPr>
            <w:r>
              <w:rPr>
                <w:rFonts w:ascii="Arial" w:hAnsi="Arial" w:cs="Arial"/>
                <w:sz w:val="20"/>
                <w:szCs w:val="20"/>
                <w:lang w:val="es-ES"/>
              </w:rPr>
              <w:t>255,088.13</w:t>
            </w:r>
          </w:p>
        </w:tc>
      </w:tr>
      <w:tr w:rsidR="00DF4E09" w:rsidRPr="00DF4E09" w:rsidTr="003965BF">
        <w:tc>
          <w:tcPr>
            <w:tcW w:w="6912" w:type="dxa"/>
            <w:tcBorders>
              <w:bottom w:val="single" w:sz="4" w:space="0" w:color="auto"/>
            </w:tcBorders>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Retenciones y contribuciones por pagar</w:t>
            </w:r>
          </w:p>
        </w:tc>
        <w:tc>
          <w:tcPr>
            <w:tcW w:w="2066" w:type="dxa"/>
            <w:tcBorders>
              <w:bottom w:val="single" w:sz="4" w:space="0" w:color="auto"/>
            </w:tcBorders>
          </w:tcPr>
          <w:p w:rsidR="00DF4E09" w:rsidRPr="00DF4E09" w:rsidRDefault="00737AB0" w:rsidP="003965BF">
            <w:pPr>
              <w:jc w:val="right"/>
              <w:rPr>
                <w:rFonts w:ascii="Arial" w:hAnsi="Arial" w:cs="Arial"/>
                <w:sz w:val="20"/>
                <w:szCs w:val="20"/>
                <w:lang w:val="es-ES"/>
              </w:rPr>
            </w:pPr>
            <w:r>
              <w:rPr>
                <w:rFonts w:ascii="Arial" w:hAnsi="Arial" w:cs="Arial"/>
                <w:sz w:val="20"/>
                <w:szCs w:val="20"/>
                <w:lang w:val="es-ES"/>
              </w:rPr>
              <w:t>98,539.92</w:t>
            </w:r>
          </w:p>
        </w:tc>
      </w:tr>
      <w:tr w:rsidR="00DF4E09" w:rsidRPr="00DF4E09" w:rsidTr="003965BF">
        <w:tc>
          <w:tcPr>
            <w:tcW w:w="6912" w:type="dxa"/>
            <w:tcBorders>
              <w:bottom w:val="single" w:sz="4" w:space="0" w:color="auto"/>
            </w:tcBorders>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Otras cuentas por pagar a corto plazo</w:t>
            </w:r>
          </w:p>
        </w:tc>
        <w:tc>
          <w:tcPr>
            <w:tcW w:w="2066" w:type="dxa"/>
            <w:tcBorders>
              <w:bottom w:val="single" w:sz="4" w:space="0" w:color="auto"/>
            </w:tcBorders>
          </w:tcPr>
          <w:p w:rsidR="00DF4E09" w:rsidRPr="00DF4E09" w:rsidRDefault="00737AB0" w:rsidP="003965BF">
            <w:pPr>
              <w:jc w:val="right"/>
              <w:rPr>
                <w:rFonts w:ascii="Arial" w:hAnsi="Arial" w:cs="Arial"/>
                <w:sz w:val="20"/>
                <w:szCs w:val="20"/>
                <w:lang w:val="es-ES"/>
              </w:rPr>
            </w:pPr>
            <w:r>
              <w:rPr>
                <w:rFonts w:ascii="Arial" w:hAnsi="Arial" w:cs="Arial"/>
                <w:sz w:val="20"/>
                <w:szCs w:val="20"/>
                <w:lang w:val="es-ES"/>
              </w:rPr>
              <w:t>58,213.69</w:t>
            </w:r>
          </w:p>
        </w:tc>
      </w:tr>
      <w:tr w:rsidR="00DF4E09" w:rsidRPr="00DF4E09" w:rsidTr="003965BF">
        <w:tc>
          <w:tcPr>
            <w:tcW w:w="6912" w:type="dxa"/>
            <w:tcBorders>
              <w:top w:val="single" w:sz="4" w:space="0" w:color="auto"/>
              <w:left w:val="nil"/>
              <w:bottom w:val="nil"/>
              <w:right w:val="single" w:sz="4" w:space="0" w:color="auto"/>
            </w:tcBorders>
          </w:tcPr>
          <w:p w:rsidR="00DF4E09" w:rsidRPr="00DF4E09" w:rsidRDefault="00DF4E09" w:rsidP="003965BF">
            <w:pPr>
              <w:rPr>
                <w:rFonts w:ascii="Arial" w:hAnsi="Arial" w:cs="Arial"/>
                <w:sz w:val="20"/>
                <w:szCs w:val="20"/>
                <w:lang w:val="es-ES"/>
              </w:rPr>
            </w:pPr>
          </w:p>
        </w:tc>
        <w:tc>
          <w:tcPr>
            <w:tcW w:w="2066" w:type="dxa"/>
            <w:tcBorders>
              <w:left w:val="single" w:sz="4" w:space="0" w:color="auto"/>
            </w:tcBorders>
          </w:tcPr>
          <w:p w:rsidR="00DF4E09" w:rsidRPr="00DF4E09" w:rsidRDefault="00737AB0" w:rsidP="003965BF">
            <w:pPr>
              <w:jc w:val="right"/>
              <w:rPr>
                <w:rFonts w:ascii="Arial" w:hAnsi="Arial" w:cs="Arial"/>
                <w:b/>
                <w:sz w:val="20"/>
                <w:szCs w:val="20"/>
                <w:lang w:val="es-ES"/>
              </w:rPr>
            </w:pPr>
            <w:r>
              <w:rPr>
                <w:rFonts w:ascii="Arial" w:hAnsi="Arial" w:cs="Arial"/>
                <w:b/>
                <w:sz w:val="20"/>
                <w:szCs w:val="20"/>
                <w:lang w:val="es-ES"/>
              </w:rPr>
              <w:t>411,841.84</w:t>
            </w:r>
          </w:p>
        </w:tc>
      </w:tr>
    </w:tbl>
    <w:p w:rsidR="00DF4E09" w:rsidRPr="00DF4E09" w:rsidRDefault="00DF4E09" w:rsidP="00DF4E09">
      <w:pPr>
        <w:rPr>
          <w:rFonts w:ascii="Arial" w:hAnsi="Arial" w:cs="Arial"/>
          <w:sz w:val="20"/>
          <w:szCs w:val="20"/>
        </w:rPr>
      </w:pPr>
    </w:p>
    <w:p w:rsidR="004B4EED" w:rsidRDefault="00DF4E09" w:rsidP="00DF4E09">
      <w:pPr>
        <w:jc w:val="both"/>
        <w:rPr>
          <w:rFonts w:ascii="Arial" w:hAnsi="Arial" w:cs="Arial"/>
          <w:sz w:val="20"/>
          <w:szCs w:val="20"/>
        </w:rPr>
      </w:pPr>
      <w:r w:rsidRPr="00DF4E09">
        <w:rPr>
          <w:rFonts w:ascii="Arial" w:hAnsi="Arial" w:cs="Arial"/>
          <w:sz w:val="20"/>
          <w:szCs w:val="20"/>
        </w:rPr>
        <w:t>El saldo está integrado por importes por pagar al Sutspes, ISSSTESON,  Fonacot, Seguro de Retiro, impuestos del mes y de ingresos devengados no recuperados del ejercicio 2012, Teléfonos de México (pago en plazos Lap Top para el área administrativa)</w:t>
      </w:r>
    </w:p>
    <w:p w:rsidR="004B4EED" w:rsidRDefault="004B4EED" w:rsidP="00DF4E09">
      <w:pPr>
        <w:jc w:val="both"/>
        <w:rPr>
          <w:rFonts w:ascii="Arial" w:hAnsi="Arial" w:cs="Arial"/>
          <w:b/>
          <w:sz w:val="20"/>
          <w:szCs w:val="20"/>
        </w:rPr>
      </w:pPr>
    </w:p>
    <w:p w:rsidR="00DF4E09" w:rsidRPr="00635020" w:rsidRDefault="00635020" w:rsidP="00DF4E09">
      <w:pPr>
        <w:jc w:val="both"/>
        <w:rPr>
          <w:rFonts w:ascii="Arial" w:hAnsi="Arial" w:cs="Arial"/>
          <w:b/>
          <w:sz w:val="20"/>
          <w:szCs w:val="20"/>
        </w:rPr>
      </w:pPr>
      <w:r w:rsidRPr="00635020">
        <w:rPr>
          <w:rFonts w:ascii="Arial" w:hAnsi="Arial" w:cs="Arial"/>
          <w:b/>
          <w:sz w:val="20"/>
          <w:szCs w:val="20"/>
        </w:rPr>
        <w:t>Nota 5.- La Entidad cuenta con pasivos contingentes registrados en cuentas de orden, como sigue:</w:t>
      </w:r>
    </w:p>
    <w:p w:rsidR="004B4EED" w:rsidRDefault="004B4EED" w:rsidP="00DF4E09">
      <w:pPr>
        <w:jc w:val="both"/>
        <w:rPr>
          <w:rFonts w:ascii="Arial" w:hAnsi="Arial" w:cs="Arial"/>
          <w:sz w:val="20"/>
          <w:szCs w:val="20"/>
        </w:rPr>
      </w:pPr>
    </w:p>
    <w:tbl>
      <w:tblPr>
        <w:tblW w:w="9696" w:type="dxa"/>
        <w:tblInd w:w="60" w:type="dxa"/>
        <w:tblCellMar>
          <w:left w:w="70" w:type="dxa"/>
          <w:right w:w="70" w:type="dxa"/>
        </w:tblCellMar>
        <w:tblLook w:val="04A0"/>
      </w:tblPr>
      <w:tblGrid>
        <w:gridCol w:w="1988"/>
        <w:gridCol w:w="1208"/>
        <w:gridCol w:w="1208"/>
        <w:gridCol w:w="1208"/>
        <w:gridCol w:w="1208"/>
        <w:gridCol w:w="160"/>
        <w:gridCol w:w="2716"/>
      </w:tblGrid>
      <w:tr w:rsidR="00635020" w:rsidRPr="002B7115" w:rsidTr="00C236B7">
        <w:trPr>
          <w:trHeight w:val="300"/>
        </w:trPr>
        <w:tc>
          <w:tcPr>
            <w:tcW w:w="1988" w:type="dxa"/>
            <w:shd w:val="clear" w:color="auto" w:fill="auto"/>
            <w:noWrap/>
            <w:vAlign w:val="bottom"/>
            <w:hideMark/>
          </w:tcPr>
          <w:p w:rsidR="00635020" w:rsidRPr="002B7115" w:rsidRDefault="00635020" w:rsidP="00635020">
            <w:pPr>
              <w:rPr>
                <w:rFonts w:ascii="Calibri" w:hAnsi="Calibri"/>
                <w:b/>
                <w:bCs/>
                <w:color w:val="000000"/>
                <w:lang w:val="es-MX" w:eastAsia="es-MX"/>
              </w:rPr>
            </w:pPr>
            <w:r w:rsidRPr="002B7115">
              <w:rPr>
                <w:rFonts w:ascii="Calibri" w:hAnsi="Calibri"/>
                <w:b/>
                <w:bCs/>
                <w:color w:val="000000"/>
                <w:sz w:val="22"/>
                <w:szCs w:val="22"/>
                <w:lang w:val="es-MX" w:eastAsia="es-MX"/>
              </w:rPr>
              <w:t>A Corto Plazo</w:t>
            </w:r>
          </w:p>
        </w:tc>
        <w:tc>
          <w:tcPr>
            <w:tcW w:w="1208"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1208"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1208"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1208"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160"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2716" w:type="dxa"/>
            <w:shd w:val="clear" w:color="auto" w:fill="auto"/>
            <w:noWrap/>
            <w:vAlign w:val="bottom"/>
            <w:hideMark/>
          </w:tcPr>
          <w:p w:rsidR="00635020" w:rsidRPr="002B7115" w:rsidRDefault="00635020" w:rsidP="00635020">
            <w:pPr>
              <w:rPr>
                <w:rFonts w:ascii="Calibri" w:hAnsi="Calibri"/>
                <w:color w:val="000000"/>
                <w:lang w:val="es-MX" w:eastAsia="es-MX"/>
              </w:rPr>
            </w:pPr>
          </w:p>
        </w:tc>
      </w:tr>
      <w:tr w:rsidR="00635020" w:rsidRPr="002B7115" w:rsidTr="00C236B7">
        <w:trPr>
          <w:trHeight w:val="300"/>
        </w:trPr>
        <w:tc>
          <w:tcPr>
            <w:tcW w:w="6820" w:type="dxa"/>
            <w:gridSpan w:val="5"/>
            <w:shd w:val="clear" w:color="auto" w:fill="auto"/>
            <w:noWrap/>
            <w:vAlign w:val="bottom"/>
            <w:hideMark/>
          </w:tcPr>
          <w:p w:rsidR="00635020" w:rsidRPr="002B7115" w:rsidRDefault="00635020" w:rsidP="00635020">
            <w:pPr>
              <w:rPr>
                <w:rFonts w:ascii="Calibri" w:hAnsi="Calibri"/>
                <w:b/>
                <w:bCs/>
                <w:color w:val="000000"/>
                <w:lang w:val="es-MX" w:eastAsia="es-MX"/>
              </w:rPr>
            </w:pPr>
            <w:r w:rsidRPr="002B7115">
              <w:rPr>
                <w:rFonts w:ascii="Calibri" w:hAnsi="Calibri"/>
                <w:b/>
                <w:bCs/>
                <w:color w:val="000000"/>
                <w:sz w:val="22"/>
                <w:szCs w:val="22"/>
                <w:lang w:val="es-MX" w:eastAsia="es-MX"/>
              </w:rPr>
              <w:t>Créditos fiscales por concepto de uso de frecuencias de Radio</w:t>
            </w:r>
          </w:p>
        </w:tc>
        <w:tc>
          <w:tcPr>
            <w:tcW w:w="160"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2716" w:type="dxa"/>
            <w:shd w:val="clear" w:color="auto" w:fill="auto"/>
            <w:noWrap/>
            <w:vAlign w:val="bottom"/>
            <w:hideMark/>
          </w:tcPr>
          <w:p w:rsidR="00635020" w:rsidRPr="002B7115" w:rsidRDefault="002B7115" w:rsidP="00C236B7">
            <w:pPr>
              <w:jc w:val="right"/>
              <w:rPr>
                <w:rFonts w:ascii="Calibri" w:hAnsi="Calibri"/>
                <w:color w:val="000000"/>
                <w:lang w:val="es-MX" w:eastAsia="es-MX"/>
              </w:rPr>
            </w:pPr>
            <w:r w:rsidRPr="002B7115">
              <w:rPr>
                <w:rFonts w:ascii="Calibri" w:hAnsi="Calibri"/>
                <w:color w:val="000000"/>
                <w:sz w:val="22"/>
                <w:szCs w:val="22"/>
                <w:lang w:val="es-MX" w:eastAsia="es-MX"/>
              </w:rPr>
              <w:t>16,337,653.00</w:t>
            </w:r>
          </w:p>
        </w:tc>
      </w:tr>
      <w:tr w:rsidR="00635020" w:rsidRPr="002B7115" w:rsidTr="00C236B7">
        <w:trPr>
          <w:trHeight w:val="300"/>
        </w:trPr>
        <w:tc>
          <w:tcPr>
            <w:tcW w:w="5612" w:type="dxa"/>
            <w:gridSpan w:val="4"/>
            <w:shd w:val="clear" w:color="auto" w:fill="auto"/>
            <w:noWrap/>
            <w:vAlign w:val="bottom"/>
            <w:hideMark/>
          </w:tcPr>
          <w:p w:rsidR="00635020" w:rsidRPr="002B7115" w:rsidRDefault="00635020" w:rsidP="00635020">
            <w:pPr>
              <w:rPr>
                <w:rFonts w:ascii="Calibri" w:hAnsi="Calibri"/>
                <w:b/>
                <w:bCs/>
                <w:color w:val="000000"/>
                <w:lang w:val="es-MX" w:eastAsia="es-MX"/>
              </w:rPr>
            </w:pPr>
            <w:r w:rsidRPr="002B7115">
              <w:rPr>
                <w:rFonts w:ascii="Calibri" w:hAnsi="Calibri"/>
                <w:b/>
                <w:bCs/>
                <w:color w:val="000000"/>
                <w:sz w:val="22"/>
                <w:szCs w:val="22"/>
                <w:lang w:val="es-MX" w:eastAsia="es-MX"/>
              </w:rPr>
              <w:t>Demanda laboral</w:t>
            </w:r>
          </w:p>
        </w:tc>
        <w:tc>
          <w:tcPr>
            <w:tcW w:w="1208"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160" w:type="dxa"/>
            <w:shd w:val="clear" w:color="auto" w:fill="auto"/>
            <w:noWrap/>
            <w:vAlign w:val="bottom"/>
            <w:hideMark/>
          </w:tcPr>
          <w:p w:rsidR="00635020" w:rsidRPr="002B7115" w:rsidRDefault="00635020" w:rsidP="00635020">
            <w:pPr>
              <w:rPr>
                <w:rFonts w:ascii="Calibri" w:hAnsi="Calibri"/>
                <w:color w:val="000000"/>
                <w:lang w:val="es-MX" w:eastAsia="es-MX"/>
              </w:rPr>
            </w:pPr>
          </w:p>
        </w:tc>
        <w:tc>
          <w:tcPr>
            <w:tcW w:w="2716" w:type="dxa"/>
            <w:shd w:val="clear" w:color="auto" w:fill="auto"/>
            <w:noWrap/>
            <w:vAlign w:val="bottom"/>
            <w:hideMark/>
          </w:tcPr>
          <w:p w:rsidR="00635020" w:rsidRPr="002B7115" w:rsidRDefault="002B7115" w:rsidP="00C236B7">
            <w:pPr>
              <w:jc w:val="right"/>
              <w:rPr>
                <w:rFonts w:ascii="Calibri" w:hAnsi="Calibri"/>
                <w:color w:val="000000"/>
                <w:lang w:val="es-MX" w:eastAsia="es-MX"/>
              </w:rPr>
            </w:pPr>
            <w:r w:rsidRPr="002B7115">
              <w:rPr>
                <w:rFonts w:ascii="Calibri" w:hAnsi="Calibri"/>
                <w:color w:val="000000"/>
                <w:sz w:val="22"/>
                <w:szCs w:val="22"/>
                <w:lang w:val="es-MX" w:eastAsia="es-MX"/>
              </w:rPr>
              <w:t>2</w:t>
            </w:r>
            <w:r w:rsidR="00635020" w:rsidRPr="002B7115">
              <w:rPr>
                <w:rFonts w:ascii="Calibri" w:hAnsi="Calibri"/>
                <w:color w:val="000000"/>
                <w:sz w:val="22"/>
                <w:szCs w:val="22"/>
                <w:lang w:val="es-MX" w:eastAsia="es-MX"/>
              </w:rPr>
              <w:t>,</w:t>
            </w:r>
            <w:r w:rsidRPr="002B7115">
              <w:rPr>
                <w:rFonts w:ascii="Calibri" w:hAnsi="Calibri"/>
                <w:color w:val="000000"/>
                <w:sz w:val="22"/>
                <w:szCs w:val="22"/>
                <w:lang w:val="es-MX" w:eastAsia="es-MX"/>
              </w:rPr>
              <w:t>037</w:t>
            </w:r>
            <w:r w:rsidR="00635020" w:rsidRPr="002B7115">
              <w:rPr>
                <w:rFonts w:ascii="Calibri" w:hAnsi="Calibri"/>
                <w:color w:val="000000"/>
                <w:sz w:val="22"/>
                <w:szCs w:val="22"/>
                <w:lang w:val="es-MX" w:eastAsia="es-MX"/>
              </w:rPr>
              <w:t>,</w:t>
            </w:r>
            <w:r w:rsidRPr="002B7115">
              <w:rPr>
                <w:rFonts w:ascii="Calibri" w:hAnsi="Calibri"/>
                <w:color w:val="000000"/>
                <w:sz w:val="22"/>
                <w:szCs w:val="22"/>
                <w:lang w:val="es-MX" w:eastAsia="es-MX"/>
              </w:rPr>
              <w:t>054.6</w:t>
            </w:r>
            <w:r w:rsidR="00DA66DF" w:rsidRPr="002B7115">
              <w:rPr>
                <w:rFonts w:ascii="Calibri" w:hAnsi="Calibri"/>
                <w:color w:val="000000"/>
                <w:sz w:val="22"/>
                <w:szCs w:val="22"/>
                <w:lang w:val="es-MX" w:eastAsia="es-MX"/>
              </w:rPr>
              <w:t>0</w:t>
            </w:r>
          </w:p>
        </w:tc>
      </w:tr>
    </w:tbl>
    <w:p w:rsidR="00635020" w:rsidRPr="002B7115" w:rsidRDefault="00635020" w:rsidP="00DF4E09">
      <w:pPr>
        <w:jc w:val="both"/>
        <w:rPr>
          <w:rFonts w:ascii="Arial" w:hAnsi="Arial" w:cs="Arial"/>
          <w:sz w:val="20"/>
          <w:szCs w:val="20"/>
        </w:rPr>
      </w:pPr>
    </w:p>
    <w:p w:rsidR="00DF4E09" w:rsidRPr="002B7115" w:rsidRDefault="00DF4E09" w:rsidP="00027034">
      <w:pPr>
        <w:pStyle w:val="Prrafodelista"/>
        <w:numPr>
          <w:ilvl w:val="0"/>
          <w:numId w:val="24"/>
        </w:numPr>
        <w:spacing w:after="0"/>
        <w:rPr>
          <w:rFonts w:ascii="Arial" w:hAnsi="Arial" w:cs="Arial"/>
          <w:b/>
          <w:sz w:val="20"/>
          <w:szCs w:val="20"/>
          <w:u w:val="single"/>
          <w:lang w:val="es-ES"/>
        </w:rPr>
      </w:pPr>
      <w:r w:rsidRPr="002B7115">
        <w:rPr>
          <w:rFonts w:ascii="Arial" w:hAnsi="Arial" w:cs="Arial"/>
          <w:b/>
          <w:sz w:val="20"/>
          <w:szCs w:val="20"/>
          <w:u w:val="single"/>
          <w:lang w:val="es-ES"/>
        </w:rPr>
        <w:t>Notas al Estado de Actividades</w:t>
      </w:r>
    </w:p>
    <w:p w:rsidR="00DF4E09" w:rsidRPr="002B7115" w:rsidRDefault="00DF4E09" w:rsidP="00DF4E09">
      <w:pPr>
        <w:jc w:val="both"/>
        <w:rPr>
          <w:rFonts w:ascii="Arial" w:hAnsi="Arial" w:cs="Arial"/>
          <w:sz w:val="20"/>
          <w:szCs w:val="20"/>
        </w:rPr>
      </w:pPr>
    </w:p>
    <w:p w:rsidR="00DF4E09" w:rsidRPr="00DF4E09" w:rsidRDefault="00635020" w:rsidP="00DF4E09">
      <w:pPr>
        <w:rPr>
          <w:rFonts w:ascii="Arial" w:hAnsi="Arial" w:cs="Arial"/>
          <w:b/>
          <w:bCs/>
          <w:sz w:val="20"/>
          <w:szCs w:val="20"/>
        </w:rPr>
      </w:pPr>
      <w:r w:rsidRPr="002B7115">
        <w:rPr>
          <w:rFonts w:ascii="Arial" w:hAnsi="Arial" w:cs="Arial"/>
          <w:b/>
          <w:bCs/>
          <w:sz w:val="20"/>
          <w:szCs w:val="20"/>
        </w:rPr>
        <w:t xml:space="preserve">Nota 6.- </w:t>
      </w:r>
      <w:r w:rsidR="00DF4E09" w:rsidRPr="002B7115">
        <w:rPr>
          <w:rFonts w:ascii="Arial" w:hAnsi="Arial" w:cs="Arial"/>
          <w:b/>
          <w:bCs/>
          <w:sz w:val="20"/>
          <w:szCs w:val="20"/>
        </w:rPr>
        <w:t>Ingresos de Gestión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Los ingresos del organismo se integran de la siguiente manera:</w:t>
      </w:r>
    </w:p>
    <w:tbl>
      <w:tblPr>
        <w:tblStyle w:val="Tablaconcuadrcula"/>
        <w:tblW w:w="0" w:type="auto"/>
        <w:tblLook w:val="04A0"/>
      </w:tblPr>
      <w:tblGrid>
        <w:gridCol w:w="6912"/>
        <w:gridCol w:w="2066"/>
      </w:tblGrid>
      <w:tr w:rsidR="00DF4E09" w:rsidRPr="00DF4E09" w:rsidTr="003965BF">
        <w:tc>
          <w:tcPr>
            <w:tcW w:w="6912"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Ingresos</w:t>
            </w:r>
          </w:p>
        </w:tc>
        <w:tc>
          <w:tcPr>
            <w:tcW w:w="2066"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3965BF">
        <w:tc>
          <w:tcPr>
            <w:tcW w:w="6912"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Ingresos por venta de bienes y servicios</w:t>
            </w:r>
          </w:p>
        </w:tc>
        <w:tc>
          <w:tcPr>
            <w:tcW w:w="2066" w:type="dxa"/>
          </w:tcPr>
          <w:p w:rsidR="00DF4E09" w:rsidRPr="00DF4E09" w:rsidRDefault="00737AB0" w:rsidP="003965BF">
            <w:pPr>
              <w:jc w:val="right"/>
              <w:rPr>
                <w:rFonts w:ascii="Arial" w:hAnsi="Arial" w:cs="Arial"/>
                <w:sz w:val="20"/>
                <w:szCs w:val="20"/>
                <w:lang w:val="es-ES"/>
              </w:rPr>
            </w:pPr>
            <w:r>
              <w:rPr>
                <w:rFonts w:ascii="Arial" w:hAnsi="Arial" w:cs="Arial"/>
                <w:sz w:val="20"/>
                <w:szCs w:val="20"/>
                <w:lang w:val="es-ES"/>
              </w:rPr>
              <w:t>1,057,465.87</w:t>
            </w:r>
          </w:p>
        </w:tc>
      </w:tr>
      <w:tr w:rsidR="00DF4E09" w:rsidRPr="00DF4E09" w:rsidTr="003965BF">
        <w:tc>
          <w:tcPr>
            <w:tcW w:w="6912" w:type="dxa"/>
            <w:tcBorders>
              <w:bottom w:val="single" w:sz="4" w:space="0" w:color="auto"/>
            </w:tcBorders>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Transferencias, asignaciones, subsidios  y otras ayudas</w:t>
            </w:r>
          </w:p>
        </w:tc>
        <w:tc>
          <w:tcPr>
            <w:tcW w:w="2066" w:type="dxa"/>
            <w:tcBorders>
              <w:bottom w:val="single" w:sz="4" w:space="0" w:color="auto"/>
            </w:tcBorders>
          </w:tcPr>
          <w:p w:rsidR="00DF4E09" w:rsidRPr="00DF4E09" w:rsidRDefault="00737AB0" w:rsidP="003965BF">
            <w:pPr>
              <w:jc w:val="right"/>
              <w:rPr>
                <w:rFonts w:ascii="Arial" w:hAnsi="Arial" w:cs="Arial"/>
                <w:sz w:val="20"/>
                <w:szCs w:val="20"/>
                <w:lang w:val="es-ES"/>
              </w:rPr>
            </w:pPr>
            <w:r>
              <w:rPr>
                <w:rFonts w:ascii="Arial" w:hAnsi="Arial" w:cs="Arial"/>
                <w:sz w:val="20"/>
                <w:szCs w:val="20"/>
                <w:lang w:val="es-ES"/>
              </w:rPr>
              <w:t>1,459,550.56</w:t>
            </w:r>
          </w:p>
        </w:tc>
      </w:tr>
      <w:tr w:rsidR="00DF4E09" w:rsidRPr="00DF4E09" w:rsidTr="003965BF">
        <w:tc>
          <w:tcPr>
            <w:tcW w:w="6912" w:type="dxa"/>
            <w:tcBorders>
              <w:top w:val="single" w:sz="4" w:space="0" w:color="auto"/>
              <w:left w:val="nil"/>
              <w:bottom w:val="nil"/>
              <w:right w:val="single" w:sz="4" w:space="0" w:color="auto"/>
            </w:tcBorders>
          </w:tcPr>
          <w:p w:rsidR="00DF4E09" w:rsidRPr="00DF4E09" w:rsidRDefault="00DF4E09" w:rsidP="003965BF">
            <w:pPr>
              <w:jc w:val="both"/>
              <w:rPr>
                <w:rFonts w:ascii="Arial" w:hAnsi="Arial" w:cs="Arial"/>
                <w:sz w:val="20"/>
                <w:szCs w:val="20"/>
                <w:lang w:val="es-ES"/>
              </w:rPr>
            </w:pPr>
          </w:p>
        </w:tc>
        <w:tc>
          <w:tcPr>
            <w:tcW w:w="2066" w:type="dxa"/>
            <w:tcBorders>
              <w:left w:val="single" w:sz="4" w:space="0" w:color="auto"/>
            </w:tcBorders>
          </w:tcPr>
          <w:p w:rsidR="00DF4E09" w:rsidRPr="00DF4E09" w:rsidRDefault="009938A1" w:rsidP="003871C7">
            <w:pPr>
              <w:jc w:val="right"/>
              <w:rPr>
                <w:rFonts w:ascii="Arial" w:hAnsi="Arial" w:cs="Arial"/>
                <w:b/>
                <w:sz w:val="20"/>
                <w:szCs w:val="20"/>
                <w:lang w:val="es-ES"/>
              </w:rPr>
            </w:pPr>
            <w:r>
              <w:rPr>
                <w:rFonts w:ascii="Arial" w:hAnsi="Arial" w:cs="Arial"/>
                <w:b/>
                <w:sz w:val="20"/>
                <w:szCs w:val="20"/>
                <w:lang w:val="es-ES"/>
              </w:rPr>
              <w:t>2,517,016.34</w:t>
            </w:r>
          </w:p>
        </w:tc>
      </w:tr>
    </w:tbl>
    <w:p w:rsidR="00DF4E09" w:rsidRDefault="00DF4E09" w:rsidP="00DF4E09">
      <w:pPr>
        <w:jc w:val="both"/>
        <w:rPr>
          <w:rFonts w:ascii="Arial" w:hAnsi="Arial" w:cs="Arial"/>
          <w:sz w:val="20"/>
          <w:szCs w:val="20"/>
        </w:rPr>
      </w:pPr>
      <w:r w:rsidRPr="00DF4E09">
        <w:rPr>
          <w:rFonts w:ascii="Arial" w:hAnsi="Arial" w:cs="Arial"/>
          <w:sz w:val="20"/>
          <w:szCs w:val="20"/>
        </w:rPr>
        <w:t>El importe plasmado en Ingresos por venta de bienes y servicios es importe devengado el cual no ha sido recaudado en su totalidad.</w:t>
      </w:r>
    </w:p>
    <w:p w:rsidR="008E4566" w:rsidRPr="00DF4E09" w:rsidRDefault="008E4566" w:rsidP="00DF4E09">
      <w:pPr>
        <w:jc w:val="both"/>
        <w:rPr>
          <w:rFonts w:ascii="Arial" w:hAnsi="Arial" w:cs="Arial"/>
          <w:sz w:val="20"/>
          <w:szCs w:val="20"/>
        </w:rPr>
      </w:pPr>
    </w:p>
    <w:p w:rsidR="00DF4E09" w:rsidRDefault="00DF4E09" w:rsidP="00DF4E09">
      <w:pPr>
        <w:jc w:val="both"/>
        <w:rPr>
          <w:rFonts w:ascii="Arial" w:hAnsi="Arial" w:cs="Arial"/>
          <w:sz w:val="20"/>
          <w:szCs w:val="20"/>
        </w:rPr>
      </w:pPr>
      <w:r w:rsidRPr="00DF4E09">
        <w:rPr>
          <w:rFonts w:ascii="Arial" w:hAnsi="Arial" w:cs="Arial"/>
          <w:sz w:val="20"/>
          <w:szCs w:val="20"/>
        </w:rPr>
        <w:t>Otros Ingresos, se debe a intereses pagados en la cuenta utilizada para el pago de servicios personales</w:t>
      </w:r>
    </w:p>
    <w:p w:rsidR="002B7115" w:rsidRPr="00DF4E09" w:rsidRDefault="002B7115" w:rsidP="00DF4E09">
      <w:pPr>
        <w:jc w:val="both"/>
        <w:rPr>
          <w:rFonts w:ascii="Arial" w:hAnsi="Arial" w:cs="Arial"/>
          <w:sz w:val="20"/>
          <w:szCs w:val="20"/>
        </w:rPr>
      </w:pPr>
    </w:p>
    <w:tbl>
      <w:tblPr>
        <w:tblStyle w:val="Tablaconcuadrcula"/>
        <w:tblW w:w="0" w:type="auto"/>
        <w:tblLook w:val="04A0"/>
      </w:tblPr>
      <w:tblGrid>
        <w:gridCol w:w="6912"/>
        <w:gridCol w:w="2066"/>
      </w:tblGrid>
      <w:tr w:rsidR="00DF4E09" w:rsidRPr="00DF4E09" w:rsidTr="003965BF">
        <w:tc>
          <w:tcPr>
            <w:tcW w:w="6912"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lastRenderedPageBreak/>
              <w:t>Otros Ingresos</w:t>
            </w:r>
          </w:p>
        </w:tc>
        <w:tc>
          <w:tcPr>
            <w:tcW w:w="2066"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Importe devengado</w:t>
            </w:r>
          </w:p>
        </w:tc>
      </w:tr>
      <w:tr w:rsidR="00DF4E09" w:rsidRPr="00DF4E09" w:rsidTr="003965BF">
        <w:tc>
          <w:tcPr>
            <w:tcW w:w="6912" w:type="dxa"/>
          </w:tcPr>
          <w:p w:rsidR="00DF4E09" w:rsidRPr="00DF4E09" w:rsidRDefault="00DF4E09" w:rsidP="003965BF">
            <w:pPr>
              <w:jc w:val="both"/>
              <w:rPr>
                <w:rFonts w:ascii="Arial" w:hAnsi="Arial" w:cs="Arial"/>
                <w:sz w:val="20"/>
                <w:szCs w:val="20"/>
                <w:lang w:val="es-ES"/>
              </w:rPr>
            </w:pPr>
            <w:r w:rsidRPr="00DF4E09">
              <w:rPr>
                <w:rFonts w:ascii="Arial" w:hAnsi="Arial" w:cs="Arial"/>
                <w:sz w:val="20"/>
                <w:szCs w:val="20"/>
                <w:lang w:val="es-ES"/>
              </w:rPr>
              <w:t>Ingresos Financieros</w:t>
            </w:r>
          </w:p>
        </w:tc>
        <w:tc>
          <w:tcPr>
            <w:tcW w:w="2066" w:type="dxa"/>
          </w:tcPr>
          <w:p w:rsidR="00DF4E09" w:rsidRPr="00DF4E09" w:rsidRDefault="002B7115" w:rsidP="002B7115">
            <w:pPr>
              <w:jc w:val="right"/>
              <w:rPr>
                <w:rFonts w:ascii="Arial" w:hAnsi="Arial" w:cs="Arial"/>
                <w:sz w:val="20"/>
                <w:szCs w:val="20"/>
                <w:lang w:val="es-ES"/>
              </w:rPr>
            </w:pPr>
            <w:r>
              <w:rPr>
                <w:rFonts w:ascii="Arial" w:hAnsi="Arial" w:cs="Arial"/>
                <w:sz w:val="20"/>
                <w:szCs w:val="20"/>
                <w:lang w:val="es-ES"/>
              </w:rPr>
              <w:t>1</w:t>
            </w:r>
            <w:r w:rsidR="00EF566E">
              <w:rPr>
                <w:rFonts w:ascii="Arial" w:hAnsi="Arial" w:cs="Arial"/>
                <w:sz w:val="20"/>
                <w:szCs w:val="20"/>
                <w:lang w:val="es-ES"/>
              </w:rPr>
              <w:t>.</w:t>
            </w:r>
            <w:r>
              <w:rPr>
                <w:rFonts w:ascii="Arial" w:hAnsi="Arial" w:cs="Arial"/>
                <w:sz w:val="20"/>
                <w:szCs w:val="20"/>
                <w:lang w:val="es-ES"/>
              </w:rPr>
              <w:t>29</w:t>
            </w:r>
          </w:p>
        </w:tc>
      </w:tr>
      <w:tr w:rsidR="00DF4E09" w:rsidRPr="00DF4E09" w:rsidTr="003965BF">
        <w:tc>
          <w:tcPr>
            <w:tcW w:w="6912" w:type="dxa"/>
            <w:tcBorders>
              <w:top w:val="single" w:sz="4" w:space="0" w:color="auto"/>
              <w:left w:val="nil"/>
              <w:bottom w:val="nil"/>
              <w:right w:val="single" w:sz="4" w:space="0" w:color="auto"/>
            </w:tcBorders>
          </w:tcPr>
          <w:p w:rsidR="00DF4E09" w:rsidRPr="00DF4E09" w:rsidRDefault="00DF4E09" w:rsidP="003965BF">
            <w:pPr>
              <w:jc w:val="both"/>
              <w:rPr>
                <w:rFonts w:ascii="Arial" w:hAnsi="Arial" w:cs="Arial"/>
                <w:sz w:val="20"/>
                <w:szCs w:val="20"/>
                <w:lang w:val="es-ES"/>
              </w:rPr>
            </w:pPr>
          </w:p>
        </w:tc>
        <w:tc>
          <w:tcPr>
            <w:tcW w:w="2066" w:type="dxa"/>
            <w:tcBorders>
              <w:left w:val="single" w:sz="4" w:space="0" w:color="auto"/>
            </w:tcBorders>
          </w:tcPr>
          <w:p w:rsidR="00DF4E09" w:rsidRPr="00DF4E09" w:rsidRDefault="002B7115" w:rsidP="002B7115">
            <w:pPr>
              <w:jc w:val="right"/>
              <w:rPr>
                <w:rFonts w:ascii="Arial" w:hAnsi="Arial" w:cs="Arial"/>
                <w:b/>
                <w:sz w:val="20"/>
                <w:szCs w:val="20"/>
                <w:lang w:val="es-ES"/>
              </w:rPr>
            </w:pPr>
            <w:r>
              <w:rPr>
                <w:rFonts w:ascii="Arial" w:hAnsi="Arial" w:cs="Arial"/>
                <w:b/>
                <w:sz w:val="20"/>
                <w:szCs w:val="20"/>
                <w:lang w:val="es-ES"/>
              </w:rPr>
              <w:t>1</w:t>
            </w:r>
            <w:r w:rsidR="00EF566E">
              <w:rPr>
                <w:rFonts w:ascii="Arial" w:hAnsi="Arial" w:cs="Arial"/>
                <w:b/>
                <w:sz w:val="20"/>
                <w:szCs w:val="20"/>
                <w:lang w:val="es-ES"/>
              </w:rPr>
              <w:t>.</w:t>
            </w:r>
            <w:r>
              <w:rPr>
                <w:rFonts w:ascii="Arial" w:hAnsi="Arial" w:cs="Arial"/>
                <w:b/>
                <w:sz w:val="20"/>
                <w:szCs w:val="20"/>
                <w:lang w:val="es-ES"/>
              </w:rPr>
              <w:t>29</w:t>
            </w:r>
          </w:p>
        </w:tc>
      </w:tr>
    </w:tbl>
    <w:p w:rsidR="00DF4E09" w:rsidRPr="00DF4E09" w:rsidRDefault="00DF4E09" w:rsidP="00DF4E09">
      <w:pPr>
        <w:rPr>
          <w:rFonts w:ascii="Arial" w:hAnsi="Arial" w:cs="Arial"/>
          <w:sz w:val="20"/>
          <w:szCs w:val="20"/>
        </w:rPr>
      </w:pPr>
    </w:p>
    <w:p w:rsidR="00DF4E09" w:rsidRPr="00DF4E09" w:rsidRDefault="00635020" w:rsidP="00DF4E09">
      <w:pPr>
        <w:rPr>
          <w:rFonts w:ascii="Arial" w:hAnsi="Arial" w:cs="Arial"/>
          <w:b/>
          <w:bCs/>
          <w:sz w:val="20"/>
          <w:szCs w:val="20"/>
        </w:rPr>
      </w:pPr>
      <w:r>
        <w:rPr>
          <w:rFonts w:ascii="Arial" w:hAnsi="Arial" w:cs="Arial"/>
          <w:b/>
          <w:bCs/>
          <w:sz w:val="20"/>
          <w:szCs w:val="20"/>
        </w:rPr>
        <w:t xml:space="preserve">Nota 7.- </w:t>
      </w:r>
      <w:r w:rsidR="00DF4E09" w:rsidRPr="00DF4E09">
        <w:rPr>
          <w:rFonts w:ascii="Arial" w:hAnsi="Arial" w:cs="Arial"/>
          <w:b/>
          <w:bCs/>
          <w:sz w:val="20"/>
          <w:szCs w:val="20"/>
        </w:rPr>
        <w:t>Gastos y Otras pérdidas</w:t>
      </w:r>
    </w:p>
    <w:p w:rsidR="00635020" w:rsidRDefault="00635020"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Las cuentas de Servicios Personales se integra por los pagos efectuados al personal del organismo en la nomina del estado y de recursos propios, pagos  efectuados por medio de la Subsecretaria de Recursos Humanos del Gobierno del Estado.  El importe correspondiente a Servicios Generales, en su mayoría se debe al pago de servicios básicos, pago de servicio telefónico, energía eléctrica, etc.</w:t>
      </w:r>
    </w:p>
    <w:tbl>
      <w:tblPr>
        <w:tblStyle w:val="Tablaconcuadrcula"/>
        <w:tblW w:w="0" w:type="auto"/>
        <w:tblLook w:val="04A0"/>
      </w:tblPr>
      <w:tblGrid>
        <w:gridCol w:w="6912"/>
        <w:gridCol w:w="2066"/>
      </w:tblGrid>
      <w:tr w:rsidR="00DF4E09" w:rsidRPr="00DF4E09" w:rsidTr="003965BF">
        <w:tc>
          <w:tcPr>
            <w:tcW w:w="6912"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Gastos y Otras Pérdidas</w:t>
            </w:r>
          </w:p>
        </w:tc>
        <w:tc>
          <w:tcPr>
            <w:tcW w:w="2066" w:type="dxa"/>
          </w:tcPr>
          <w:p w:rsidR="00DF4E09" w:rsidRPr="00DF4E09" w:rsidRDefault="00DF4E09" w:rsidP="003965BF">
            <w:pPr>
              <w:jc w:val="center"/>
              <w:rPr>
                <w:rFonts w:ascii="Arial" w:hAnsi="Arial" w:cs="Arial"/>
                <w:b/>
                <w:sz w:val="20"/>
                <w:szCs w:val="20"/>
                <w:lang w:val="es-ES"/>
              </w:rPr>
            </w:pPr>
            <w:r w:rsidRPr="00DF4E09">
              <w:rPr>
                <w:rFonts w:ascii="Arial" w:hAnsi="Arial" w:cs="Arial"/>
                <w:b/>
                <w:sz w:val="20"/>
                <w:szCs w:val="20"/>
                <w:lang w:val="es-ES"/>
              </w:rPr>
              <w:t>Importe</w:t>
            </w:r>
          </w:p>
        </w:tc>
      </w:tr>
      <w:tr w:rsidR="00DF4E09" w:rsidRPr="00DF4E09" w:rsidTr="003965BF">
        <w:tc>
          <w:tcPr>
            <w:tcW w:w="6912" w:type="dxa"/>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Servicios personales</w:t>
            </w:r>
          </w:p>
        </w:tc>
        <w:tc>
          <w:tcPr>
            <w:tcW w:w="2066" w:type="dxa"/>
          </w:tcPr>
          <w:p w:rsidR="00DF4E09" w:rsidRPr="00DF4E09" w:rsidRDefault="009938A1" w:rsidP="003965BF">
            <w:pPr>
              <w:jc w:val="right"/>
              <w:rPr>
                <w:rFonts w:ascii="Arial" w:hAnsi="Arial" w:cs="Arial"/>
                <w:sz w:val="20"/>
                <w:szCs w:val="20"/>
                <w:lang w:val="es-ES"/>
              </w:rPr>
            </w:pPr>
            <w:r>
              <w:rPr>
                <w:rFonts w:ascii="Arial" w:hAnsi="Arial" w:cs="Arial"/>
                <w:sz w:val="20"/>
                <w:szCs w:val="20"/>
                <w:lang w:val="es-ES"/>
              </w:rPr>
              <w:t>1,788,925.75</w:t>
            </w:r>
          </w:p>
        </w:tc>
      </w:tr>
      <w:tr w:rsidR="00DF4E09" w:rsidRPr="00DF4E09" w:rsidTr="003965BF">
        <w:tc>
          <w:tcPr>
            <w:tcW w:w="6912" w:type="dxa"/>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Materiales y Suministros</w:t>
            </w:r>
          </w:p>
        </w:tc>
        <w:tc>
          <w:tcPr>
            <w:tcW w:w="2066" w:type="dxa"/>
          </w:tcPr>
          <w:p w:rsidR="00DF4E09" w:rsidRPr="00DF4E09" w:rsidRDefault="009938A1" w:rsidP="003965BF">
            <w:pPr>
              <w:jc w:val="right"/>
              <w:rPr>
                <w:rFonts w:ascii="Arial" w:hAnsi="Arial" w:cs="Arial"/>
                <w:sz w:val="20"/>
                <w:szCs w:val="20"/>
                <w:lang w:val="es-ES"/>
              </w:rPr>
            </w:pPr>
            <w:r>
              <w:rPr>
                <w:rFonts w:ascii="Arial" w:hAnsi="Arial" w:cs="Arial"/>
                <w:sz w:val="20"/>
                <w:szCs w:val="20"/>
                <w:lang w:val="es-ES"/>
              </w:rPr>
              <w:t>257,275.34</w:t>
            </w:r>
          </w:p>
        </w:tc>
      </w:tr>
      <w:tr w:rsidR="00DF4E09" w:rsidRPr="00DF4E09" w:rsidTr="003965BF">
        <w:tc>
          <w:tcPr>
            <w:tcW w:w="6912" w:type="dxa"/>
            <w:tcBorders>
              <w:bottom w:val="single" w:sz="4" w:space="0" w:color="auto"/>
            </w:tcBorders>
          </w:tcPr>
          <w:p w:rsidR="00DF4E09" w:rsidRPr="00DF4E09" w:rsidRDefault="00DF4E09" w:rsidP="003965BF">
            <w:pPr>
              <w:rPr>
                <w:rFonts w:ascii="Arial" w:hAnsi="Arial" w:cs="Arial"/>
                <w:sz w:val="20"/>
                <w:szCs w:val="20"/>
                <w:lang w:val="es-ES"/>
              </w:rPr>
            </w:pPr>
            <w:r w:rsidRPr="00DF4E09">
              <w:rPr>
                <w:rFonts w:ascii="Arial" w:hAnsi="Arial" w:cs="Arial"/>
                <w:sz w:val="20"/>
                <w:szCs w:val="20"/>
                <w:lang w:val="es-ES"/>
              </w:rPr>
              <w:t>Servicios Generales</w:t>
            </w:r>
          </w:p>
        </w:tc>
        <w:tc>
          <w:tcPr>
            <w:tcW w:w="2066" w:type="dxa"/>
          </w:tcPr>
          <w:p w:rsidR="00DF4E09" w:rsidRPr="00DF4E09" w:rsidRDefault="009938A1" w:rsidP="00FE421B">
            <w:pPr>
              <w:jc w:val="right"/>
              <w:rPr>
                <w:rFonts w:ascii="Arial" w:hAnsi="Arial" w:cs="Arial"/>
                <w:sz w:val="20"/>
                <w:szCs w:val="20"/>
                <w:lang w:val="es-ES"/>
              </w:rPr>
            </w:pPr>
            <w:r>
              <w:rPr>
                <w:rFonts w:ascii="Arial" w:hAnsi="Arial" w:cs="Arial"/>
                <w:sz w:val="20"/>
                <w:szCs w:val="20"/>
                <w:lang w:val="es-ES"/>
              </w:rPr>
              <w:t>563,861.06</w:t>
            </w:r>
          </w:p>
        </w:tc>
      </w:tr>
      <w:tr w:rsidR="00DF4E09" w:rsidRPr="00DF4E09" w:rsidTr="003965BF">
        <w:tc>
          <w:tcPr>
            <w:tcW w:w="6912" w:type="dxa"/>
            <w:tcBorders>
              <w:top w:val="single" w:sz="4" w:space="0" w:color="auto"/>
              <w:left w:val="nil"/>
              <w:bottom w:val="nil"/>
              <w:right w:val="single" w:sz="4" w:space="0" w:color="auto"/>
            </w:tcBorders>
          </w:tcPr>
          <w:p w:rsidR="00DF4E09" w:rsidRPr="00DF4E09" w:rsidRDefault="00DF4E09" w:rsidP="003965BF">
            <w:pPr>
              <w:rPr>
                <w:rFonts w:ascii="Arial" w:hAnsi="Arial" w:cs="Arial"/>
                <w:sz w:val="20"/>
                <w:szCs w:val="20"/>
                <w:lang w:val="es-ES"/>
              </w:rPr>
            </w:pPr>
          </w:p>
        </w:tc>
        <w:tc>
          <w:tcPr>
            <w:tcW w:w="2066" w:type="dxa"/>
            <w:tcBorders>
              <w:left w:val="single" w:sz="4" w:space="0" w:color="auto"/>
            </w:tcBorders>
          </w:tcPr>
          <w:p w:rsidR="00DF4E09" w:rsidRPr="00DF4E09" w:rsidRDefault="009938A1" w:rsidP="003965BF">
            <w:pPr>
              <w:jc w:val="right"/>
              <w:rPr>
                <w:rFonts w:ascii="Arial" w:hAnsi="Arial" w:cs="Arial"/>
                <w:b/>
                <w:sz w:val="20"/>
                <w:szCs w:val="20"/>
                <w:lang w:val="es-ES"/>
              </w:rPr>
            </w:pPr>
            <w:r>
              <w:rPr>
                <w:rFonts w:ascii="Arial" w:hAnsi="Arial" w:cs="Arial"/>
                <w:b/>
                <w:sz w:val="20"/>
                <w:szCs w:val="20"/>
                <w:lang w:val="es-ES"/>
              </w:rPr>
              <w:t>2,610,052.15</w:t>
            </w:r>
          </w:p>
        </w:tc>
      </w:tr>
    </w:tbl>
    <w:p w:rsidR="00DF4E09" w:rsidRPr="003871C7" w:rsidRDefault="003871C7" w:rsidP="00DF4E09">
      <w:pPr>
        <w:rPr>
          <w:rFonts w:ascii="Arial" w:hAnsi="Arial" w:cs="Arial"/>
          <w:b/>
          <w:sz w:val="20"/>
          <w:szCs w:val="20"/>
          <w:u w:val="single"/>
        </w:rPr>
      </w:pPr>
      <w:r w:rsidRPr="003871C7">
        <w:rPr>
          <w:rFonts w:ascii="Arial" w:hAnsi="Arial" w:cs="Arial"/>
          <w:b/>
          <w:sz w:val="20"/>
          <w:szCs w:val="20"/>
          <w:u w:val="single"/>
        </w:rPr>
        <w:t>Otros gastos y pérdidas extraordinarias</w:t>
      </w:r>
    </w:p>
    <w:p w:rsidR="003871C7" w:rsidRDefault="003871C7" w:rsidP="00DF4E09">
      <w:pPr>
        <w:rPr>
          <w:rFonts w:ascii="Arial" w:hAnsi="Arial" w:cs="Arial"/>
          <w:sz w:val="20"/>
          <w:szCs w:val="20"/>
        </w:rPr>
      </w:pPr>
    </w:p>
    <w:p w:rsidR="003871C7" w:rsidRDefault="003871C7" w:rsidP="00DF4E09">
      <w:pPr>
        <w:rPr>
          <w:rFonts w:ascii="Arial" w:hAnsi="Arial" w:cs="Arial"/>
          <w:sz w:val="20"/>
          <w:szCs w:val="20"/>
        </w:rPr>
      </w:pPr>
      <w:r>
        <w:rPr>
          <w:rFonts w:ascii="Arial" w:hAnsi="Arial" w:cs="Arial"/>
          <w:sz w:val="20"/>
          <w:szCs w:val="20"/>
        </w:rPr>
        <w:t>Estimaciones, depreciaciones, deterioros, obsole</w:t>
      </w:r>
      <w:r w:rsidR="009938A1">
        <w:rPr>
          <w:rFonts w:ascii="Arial" w:hAnsi="Arial" w:cs="Arial"/>
          <w:sz w:val="20"/>
          <w:szCs w:val="20"/>
        </w:rPr>
        <w:t>s</w:t>
      </w:r>
      <w:r>
        <w:rPr>
          <w:rFonts w:ascii="Arial" w:hAnsi="Arial" w:cs="Arial"/>
          <w:sz w:val="20"/>
          <w:szCs w:val="20"/>
        </w:rPr>
        <w:t>cencia:</w:t>
      </w:r>
    </w:p>
    <w:p w:rsidR="003871C7" w:rsidRDefault="003871C7" w:rsidP="00DF4E09">
      <w:pPr>
        <w:rPr>
          <w:rFonts w:ascii="Arial" w:hAnsi="Arial" w:cs="Arial"/>
          <w:sz w:val="20"/>
          <w:szCs w:val="20"/>
        </w:rPr>
      </w:pPr>
    </w:p>
    <w:p w:rsidR="003871C7" w:rsidRPr="00DF4E09" w:rsidRDefault="003871C7" w:rsidP="00DF4E09">
      <w:pPr>
        <w:rPr>
          <w:rFonts w:ascii="Arial" w:hAnsi="Arial" w:cs="Arial"/>
          <w:sz w:val="20"/>
          <w:szCs w:val="20"/>
        </w:rPr>
      </w:pPr>
      <w:r>
        <w:rPr>
          <w:rFonts w:ascii="Arial" w:hAnsi="Arial" w:cs="Arial"/>
          <w:sz w:val="20"/>
          <w:szCs w:val="20"/>
        </w:rPr>
        <w:t>Se tiene regist</w:t>
      </w:r>
      <w:r w:rsidR="009938A1">
        <w:rPr>
          <w:rFonts w:ascii="Arial" w:hAnsi="Arial" w:cs="Arial"/>
          <w:sz w:val="20"/>
          <w:szCs w:val="20"/>
        </w:rPr>
        <w:t>rado en este periodo $ 95,193.49</w:t>
      </w:r>
      <w:r>
        <w:rPr>
          <w:rFonts w:ascii="Arial" w:hAnsi="Arial" w:cs="Arial"/>
          <w:sz w:val="20"/>
          <w:szCs w:val="20"/>
        </w:rPr>
        <w:t xml:space="preserve"> por concepto de depreciación de los bienes muebles e inmuebles</w:t>
      </w:r>
      <w:r w:rsidR="008C7967">
        <w:rPr>
          <w:rFonts w:ascii="Arial" w:hAnsi="Arial" w:cs="Arial"/>
          <w:sz w:val="20"/>
          <w:szCs w:val="20"/>
        </w:rPr>
        <w:t xml:space="preserve"> de la Entidad.</w:t>
      </w:r>
    </w:p>
    <w:p w:rsidR="00DF4E09" w:rsidRPr="00DF4E09" w:rsidRDefault="00DF4E09" w:rsidP="00DF4E09">
      <w:pPr>
        <w:rPr>
          <w:rFonts w:ascii="Arial" w:hAnsi="Arial" w:cs="Arial"/>
          <w:sz w:val="20"/>
          <w:szCs w:val="20"/>
        </w:rPr>
      </w:pPr>
    </w:p>
    <w:p w:rsidR="00DF4E09" w:rsidRPr="00DF4E09" w:rsidRDefault="00DF4E09" w:rsidP="00DF4E09">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Variación en la Hacienda Pública</w:t>
      </w:r>
    </w:p>
    <w:p w:rsidR="008E4566" w:rsidRDefault="008E4566" w:rsidP="008C7967">
      <w:pPr>
        <w:rPr>
          <w:rFonts w:ascii="Arial" w:hAnsi="Arial" w:cs="Arial"/>
          <w:sz w:val="20"/>
          <w:szCs w:val="20"/>
        </w:rPr>
      </w:pPr>
      <w:r>
        <w:rPr>
          <w:rFonts w:ascii="Arial" w:hAnsi="Arial" w:cs="Arial"/>
          <w:sz w:val="20"/>
          <w:szCs w:val="20"/>
        </w:rPr>
        <w:t>.</w:t>
      </w:r>
    </w:p>
    <w:p w:rsidR="002C7A02" w:rsidRDefault="002C7A02" w:rsidP="002C7A02">
      <w:pPr>
        <w:rPr>
          <w:rFonts w:ascii="Arial" w:hAnsi="Arial" w:cs="Arial"/>
          <w:b/>
          <w:sz w:val="20"/>
          <w:szCs w:val="20"/>
        </w:rPr>
      </w:pPr>
    </w:p>
    <w:p w:rsidR="00DF4E09" w:rsidRDefault="002C7A02" w:rsidP="002C7A02">
      <w:pPr>
        <w:rPr>
          <w:rFonts w:ascii="Arial" w:hAnsi="Arial" w:cs="Arial"/>
          <w:b/>
          <w:sz w:val="20"/>
          <w:szCs w:val="20"/>
        </w:rPr>
      </w:pPr>
      <w:r w:rsidRPr="002C7A02">
        <w:rPr>
          <w:rFonts w:ascii="Arial" w:hAnsi="Arial" w:cs="Arial"/>
          <w:b/>
          <w:sz w:val="20"/>
          <w:szCs w:val="20"/>
        </w:rPr>
        <w:t xml:space="preserve">Nota 8.- </w:t>
      </w:r>
      <w:r w:rsidR="00DF4E09" w:rsidRPr="002C7A02">
        <w:rPr>
          <w:rFonts w:ascii="Arial" w:hAnsi="Arial" w:cs="Arial"/>
          <w:b/>
          <w:sz w:val="20"/>
          <w:szCs w:val="20"/>
        </w:rPr>
        <w:t>Modificaciones al patrimonio</w:t>
      </w:r>
    </w:p>
    <w:p w:rsidR="002C7A02" w:rsidRPr="002C7A02" w:rsidRDefault="002C7A02" w:rsidP="002C7A02">
      <w:pPr>
        <w:rPr>
          <w:rFonts w:ascii="Arial" w:hAnsi="Arial" w:cs="Arial"/>
          <w:b/>
          <w:sz w:val="20"/>
          <w:szCs w:val="20"/>
        </w:rPr>
      </w:pPr>
    </w:p>
    <w:tbl>
      <w:tblPr>
        <w:tblStyle w:val="Tablaconcuadrcula"/>
        <w:tblW w:w="0" w:type="auto"/>
        <w:tblInd w:w="360" w:type="dxa"/>
        <w:tblLook w:val="04A0"/>
      </w:tblPr>
      <w:tblGrid>
        <w:gridCol w:w="4710"/>
        <w:gridCol w:w="2126"/>
      </w:tblGrid>
      <w:tr w:rsidR="00DF4E09" w:rsidRPr="00DF4E09" w:rsidTr="003965BF">
        <w:tc>
          <w:tcPr>
            <w:tcW w:w="4710" w:type="dxa"/>
          </w:tcPr>
          <w:p w:rsidR="00DF4E09" w:rsidRPr="00DF4E09" w:rsidRDefault="00DF4E09" w:rsidP="00825CD0">
            <w:pPr>
              <w:rPr>
                <w:rFonts w:ascii="Arial" w:hAnsi="Arial" w:cs="Arial"/>
                <w:sz w:val="20"/>
                <w:szCs w:val="20"/>
                <w:lang w:val="es-ES"/>
              </w:rPr>
            </w:pPr>
            <w:r w:rsidRPr="00DF4E09">
              <w:rPr>
                <w:rFonts w:ascii="Arial" w:hAnsi="Arial" w:cs="Arial"/>
                <w:sz w:val="20"/>
                <w:szCs w:val="20"/>
                <w:lang w:val="es-ES"/>
              </w:rPr>
              <w:t xml:space="preserve">Patrimonio neto final </w:t>
            </w:r>
            <w:r w:rsidR="00825CD0">
              <w:rPr>
                <w:rFonts w:ascii="Arial" w:hAnsi="Arial" w:cs="Arial"/>
                <w:sz w:val="20"/>
                <w:szCs w:val="20"/>
                <w:lang w:val="es-ES"/>
              </w:rPr>
              <w:t xml:space="preserve">4to. Trimestre </w:t>
            </w:r>
            <w:r w:rsidRPr="00DF4E09">
              <w:rPr>
                <w:rFonts w:ascii="Arial" w:hAnsi="Arial" w:cs="Arial"/>
                <w:sz w:val="20"/>
                <w:szCs w:val="20"/>
                <w:lang w:val="es-ES"/>
              </w:rPr>
              <w:t>201</w:t>
            </w:r>
            <w:r w:rsidR="008C7967">
              <w:rPr>
                <w:rFonts w:ascii="Arial" w:hAnsi="Arial" w:cs="Arial"/>
                <w:sz w:val="20"/>
                <w:szCs w:val="20"/>
                <w:lang w:val="es-ES"/>
              </w:rPr>
              <w:t>5</w:t>
            </w:r>
          </w:p>
        </w:tc>
        <w:tc>
          <w:tcPr>
            <w:tcW w:w="2126" w:type="dxa"/>
          </w:tcPr>
          <w:p w:rsidR="00DF4E09" w:rsidRPr="00DF4E09" w:rsidRDefault="008C7967" w:rsidP="00825CD0">
            <w:pPr>
              <w:jc w:val="right"/>
              <w:rPr>
                <w:rFonts w:ascii="Arial" w:hAnsi="Arial" w:cs="Arial"/>
                <w:sz w:val="20"/>
                <w:szCs w:val="20"/>
                <w:lang w:val="es-ES"/>
              </w:rPr>
            </w:pPr>
            <w:r>
              <w:rPr>
                <w:rFonts w:ascii="Arial" w:hAnsi="Arial" w:cs="Arial"/>
                <w:sz w:val="20"/>
                <w:szCs w:val="20"/>
                <w:lang w:val="es-ES"/>
              </w:rPr>
              <w:t>5,061,939.20</w:t>
            </w:r>
          </w:p>
        </w:tc>
      </w:tr>
      <w:tr w:rsidR="00825CD0" w:rsidRPr="00DF4E09" w:rsidTr="003965BF">
        <w:tc>
          <w:tcPr>
            <w:tcW w:w="4710" w:type="dxa"/>
          </w:tcPr>
          <w:p w:rsidR="00825CD0" w:rsidRPr="00DF4E09" w:rsidRDefault="008C7967" w:rsidP="00825CD0">
            <w:pPr>
              <w:rPr>
                <w:rFonts w:ascii="Arial" w:hAnsi="Arial" w:cs="Arial"/>
                <w:sz w:val="20"/>
                <w:szCs w:val="20"/>
              </w:rPr>
            </w:pPr>
            <w:r>
              <w:rPr>
                <w:rFonts w:ascii="Arial" w:hAnsi="Arial" w:cs="Arial"/>
                <w:sz w:val="20"/>
                <w:szCs w:val="20"/>
              </w:rPr>
              <w:t>Resultado del Ejercicio (enero-marzo)</w:t>
            </w:r>
          </w:p>
        </w:tc>
        <w:tc>
          <w:tcPr>
            <w:tcW w:w="2126" w:type="dxa"/>
          </w:tcPr>
          <w:p w:rsidR="00825CD0" w:rsidRPr="00DF4E09" w:rsidRDefault="008C7967" w:rsidP="00825CD0">
            <w:pPr>
              <w:jc w:val="right"/>
              <w:rPr>
                <w:rFonts w:ascii="Arial" w:hAnsi="Arial" w:cs="Arial"/>
                <w:sz w:val="20"/>
                <w:szCs w:val="20"/>
              </w:rPr>
            </w:pPr>
            <w:r>
              <w:rPr>
                <w:rFonts w:ascii="Arial" w:hAnsi="Arial" w:cs="Arial"/>
                <w:sz w:val="20"/>
                <w:szCs w:val="20"/>
              </w:rPr>
              <w:t>-1</w:t>
            </w:r>
            <w:r w:rsidR="009938A1">
              <w:rPr>
                <w:rFonts w:ascii="Arial" w:hAnsi="Arial" w:cs="Arial"/>
                <w:sz w:val="20"/>
                <w:szCs w:val="20"/>
              </w:rPr>
              <w:t>88,237.92</w:t>
            </w:r>
          </w:p>
        </w:tc>
      </w:tr>
      <w:tr w:rsidR="00DF4E09" w:rsidRPr="00DF4E09" w:rsidTr="003965BF">
        <w:tc>
          <w:tcPr>
            <w:tcW w:w="4710" w:type="dxa"/>
          </w:tcPr>
          <w:p w:rsidR="00DF4E09" w:rsidRPr="008C7967" w:rsidRDefault="00DF4E09" w:rsidP="008C7967">
            <w:pPr>
              <w:rPr>
                <w:rFonts w:ascii="Arial" w:hAnsi="Arial" w:cs="Arial"/>
                <w:b/>
                <w:sz w:val="20"/>
                <w:szCs w:val="20"/>
                <w:lang w:val="es-ES"/>
              </w:rPr>
            </w:pPr>
            <w:r w:rsidRPr="008C7967">
              <w:rPr>
                <w:rFonts w:ascii="Arial" w:hAnsi="Arial" w:cs="Arial"/>
                <w:b/>
                <w:sz w:val="20"/>
                <w:szCs w:val="20"/>
                <w:lang w:val="es-ES"/>
              </w:rPr>
              <w:t xml:space="preserve">Patrimonio neto final </w:t>
            </w:r>
            <w:r w:rsidR="008C7967">
              <w:rPr>
                <w:rFonts w:ascii="Arial" w:hAnsi="Arial" w:cs="Arial"/>
                <w:b/>
                <w:sz w:val="20"/>
                <w:szCs w:val="20"/>
                <w:lang w:val="es-ES"/>
              </w:rPr>
              <w:t xml:space="preserve"> 1er</w:t>
            </w:r>
            <w:r w:rsidR="00825CD0" w:rsidRPr="008C7967">
              <w:rPr>
                <w:rFonts w:ascii="Arial" w:hAnsi="Arial" w:cs="Arial"/>
                <w:b/>
                <w:sz w:val="20"/>
                <w:szCs w:val="20"/>
                <w:lang w:val="es-ES"/>
              </w:rPr>
              <w:t xml:space="preserve"> Trimestre </w:t>
            </w:r>
            <w:r w:rsidRPr="008C7967">
              <w:rPr>
                <w:rFonts w:ascii="Arial" w:hAnsi="Arial" w:cs="Arial"/>
                <w:b/>
                <w:sz w:val="20"/>
                <w:szCs w:val="20"/>
                <w:lang w:val="es-ES"/>
              </w:rPr>
              <w:t>201</w:t>
            </w:r>
            <w:r w:rsidR="008C7967">
              <w:rPr>
                <w:rFonts w:ascii="Arial" w:hAnsi="Arial" w:cs="Arial"/>
                <w:b/>
                <w:sz w:val="20"/>
                <w:szCs w:val="20"/>
                <w:lang w:val="es-ES"/>
              </w:rPr>
              <w:t>6</w:t>
            </w:r>
          </w:p>
        </w:tc>
        <w:tc>
          <w:tcPr>
            <w:tcW w:w="2126" w:type="dxa"/>
          </w:tcPr>
          <w:p w:rsidR="00DF4E09" w:rsidRPr="008C7967" w:rsidRDefault="008C7967" w:rsidP="000F34AA">
            <w:pPr>
              <w:jc w:val="right"/>
              <w:rPr>
                <w:rFonts w:ascii="Arial" w:hAnsi="Arial" w:cs="Arial"/>
                <w:b/>
                <w:sz w:val="20"/>
                <w:szCs w:val="20"/>
                <w:lang w:val="es-ES"/>
              </w:rPr>
            </w:pPr>
            <w:r w:rsidRPr="008C7967">
              <w:rPr>
                <w:rFonts w:ascii="Arial" w:hAnsi="Arial" w:cs="Arial"/>
                <w:b/>
                <w:sz w:val="20"/>
                <w:szCs w:val="20"/>
                <w:lang w:val="es-ES"/>
              </w:rPr>
              <w:t>4,</w:t>
            </w:r>
            <w:r w:rsidR="009938A1">
              <w:rPr>
                <w:rFonts w:ascii="Arial" w:hAnsi="Arial" w:cs="Arial"/>
                <w:b/>
                <w:sz w:val="20"/>
                <w:szCs w:val="20"/>
                <w:lang w:val="es-ES"/>
              </w:rPr>
              <w:t>873,701.28</w:t>
            </w:r>
          </w:p>
        </w:tc>
      </w:tr>
    </w:tbl>
    <w:p w:rsidR="00DF4E09" w:rsidRDefault="00DF4E09" w:rsidP="00DF4E09">
      <w:pPr>
        <w:ind w:left="360"/>
        <w:rPr>
          <w:rFonts w:ascii="Arial" w:hAnsi="Arial" w:cs="Arial"/>
          <w:sz w:val="20"/>
          <w:szCs w:val="20"/>
        </w:rPr>
      </w:pPr>
    </w:p>
    <w:p w:rsidR="008C7967" w:rsidRDefault="008C7967" w:rsidP="00DF4E09">
      <w:pPr>
        <w:ind w:left="360"/>
        <w:rPr>
          <w:rFonts w:ascii="Arial" w:hAnsi="Arial" w:cs="Arial"/>
          <w:sz w:val="20"/>
          <w:szCs w:val="20"/>
        </w:rPr>
      </w:pPr>
    </w:p>
    <w:p w:rsidR="008C7967" w:rsidRDefault="008C7967" w:rsidP="00DF4E09">
      <w:pPr>
        <w:ind w:left="360"/>
        <w:rPr>
          <w:rFonts w:ascii="Arial" w:hAnsi="Arial" w:cs="Arial"/>
          <w:sz w:val="20"/>
          <w:szCs w:val="20"/>
        </w:rPr>
      </w:pPr>
      <w:r>
        <w:rPr>
          <w:rFonts w:ascii="Arial" w:hAnsi="Arial" w:cs="Arial"/>
          <w:sz w:val="20"/>
          <w:szCs w:val="20"/>
        </w:rPr>
        <w:t>La modificación del patrimoni</w:t>
      </w:r>
      <w:r w:rsidR="009938A1">
        <w:rPr>
          <w:rFonts w:ascii="Arial" w:hAnsi="Arial" w:cs="Arial"/>
          <w:sz w:val="20"/>
          <w:szCs w:val="20"/>
        </w:rPr>
        <w:t>o en el periodo de enero a junio de 2016, se generó</w:t>
      </w:r>
      <w:r>
        <w:rPr>
          <w:rFonts w:ascii="Arial" w:hAnsi="Arial" w:cs="Arial"/>
          <w:sz w:val="20"/>
          <w:szCs w:val="20"/>
        </w:rPr>
        <w:t xml:space="preserve"> básicamente por los resultados de gestión en dicho periodo</w:t>
      </w:r>
    </w:p>
    <w:p w:rsidR="008C7967" w:rsidRDefault="008C7967" w:rsidP="00DF4E09">
      <w:pPr>
        <w:ind w:left="360"/>
        <w:rPr>
          <w:rFonts w:ascii="Arial" w:hAnsi="Arial" w:cs="Arial"/>
          <w:sz w:val="20"/>
          <w:szCs w:val="20"/>
        </w:rPr>
      </w:pPr>
    </w:p>
    <w:p w:rsidR="008C7967" w:rsidRPr="00DF4E09" w:rsidRDefault="008C7967" w:rsidP="00DF4E09">
      <w:pPr>
        <w:ind w:left="360"/>
        <w:rPr>
          <w:rFonts w:ascii="Arial" w:hAnsi="Arial" w:cs="Arial"/>
          <w:sz w:val="20"/>
          <w:szCs w:val="20"/>
        </w:rPr>
      </w:pPr>
    </w:p>
    <w:p w:rsidR="002C7A02" w:rsidRPr="008C7967" w:rsidRDefault="00DF4E09" w:rsidP="008C7967">
      <w:pPr>
        <w:pStyle w:val="Prrafodelista"/>
        <w:numPr>
          <w:ilvl w:val="0"/>
          <w:numId w:val="22"/>
        </w:numPr>
        <w:spacing w:after="0"/>
        <w:rPr>
          <w:rFonts w:ascii="Arial" w:hAnsi="Arial" w:cs="Arial"/>
          <w:b/>
          <w:sz w:val="20"/>
          <w:szCs w:val="20"/>
          <w:u w:val="single"/>
          <w:lang w:val="es-ES"/>
        </w:rPr>
      </w:pPr>
      <w:r w:rsidRPr="00DF4E09">
        <w:rPr>
          <w:rFonts w:ascii="Arial" w:hAnsi="Arial" w:cs="Arial"/>
          <w:b/>
          <w:sz w:val="20"/>
          <w:szCs w:val="20"/>
          <w:u w:val="single"/>
          <w:lang w:val="es-ES"/>
        </w:rPr>
        <w:t>Notas al Estado de Flujo de Efectivo</w:t>
      </w:r>
    </w:p>
    <w:p w:rsidR="002C7A02" w:rsidRDefault="002C7A02" w:rsidP="00DF4E09">
      <w:pPr>
        <w:jc w:val="both"/>
        <w:rPr>
          <w:rFonts w:ascii="Arial" w:hAnsi="Arial" w:cs="Arial"/>
          <w:sz w:val="20"/>
          <w:szCs w:val="20"/>
        </w:rPr>
      </w:pPr>
    </w:p>
    <w:p w:rsidR="006A6664" w:rsidRDefault="002C7A02" w:rsidP="00DF4E09">
      <w:pPr>
        <w:jc w:val="both"/>
        <w:rPr>
          <w:rFonts w:ascii="Arial" w:hAnsi="Arial" w:cs="Arial"/>
          <w:sz w:val="20"/>
          <w:szCs w:val="20"/>
        </w:rPr>
      </w:pPr>
      <w:r w:rsidRPr="008C7967">
        <w:rPr>
          <w:rFonts w:ascii="Arial" w:hAnsi="Arial" w:cs="Arial"/>
          <w:b/>
          <w:sz w:val="20"/>
          <w:szCs w:val="20"/>
        </w:rPr>
        <w:t>Nota 9.-</w:t>
      </w:r>
      <w:r w:rsidR="00DF4E09" w:rsidRPr="00DF4E09">
        <w:rPr>
          <w:rFonts w:ascii="Arial" w:hAnsi="Arial" w:cs="Arial"/>
          <w:sz w:val="20"/>
          <w:szCs w:val="20"/>
        </w:rPr>
        <w:t>El análisis de los saldos inicial y final que figuran en la última parte del estado de Flujo de Efectivo en la cuenta de efectivo y equivalentes es como sigue:</w:t>
      </w: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p>
    <w:p w:rsidR="00027034" w:rsidRDefault="00027034" w:rsidP="00DF4E09">
      <w:pPr>
        <w:jc w:val="both"/>
        <w:rPr>
          <w:rFonts w:ascii="Arial" w:hAnsi="Arial" w:cs="Arial"/>
          <w:sz w:val="20"/>
          <w:szCs w:val="20"/>
        </w:rPr>
      </w:pPr>
      <w:bookmarkStart w:id="0" w:name="_GoBack"/>
      <w:bookmarkEnd w:id="0"/>
    </w:p>
    <w:p w:rsidR="006A6664" w:rsidRDefault="00027034" w:rsidP="006A6664">
      <w:pPr>
        <w:jc w:val="center"/>
        <w:rPr>
          <w:rFonts w:ascii="Arial" w:hAnsi="Arial" w:cs="Arial"/>
          <w:sz w:val="20"/>
          <w:szCs w:val="20"/>
        </w:rPr>
      </w:pPr>
      <w:r w:rsidRPr="004F58B6">
        <w:rPr>
          <w:rFonts w:ascii="Arial" w:hAnsi="Arial" w:cs="Arial"/>
          <w:sz w:val="20"/>
          <w:szCs w:val="20"/>
        </w:rPr>
        <w:object w:dxaOrig="8958" w:dyaOrig="5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03.25pt" o:ole="">
            <v:imagedata r:id="rId7" o:title=""/>
          </v:shape>
          <o:OLEObject Type="Embed" ProgID="Excel.Sheet.12" ShapeID="_x0000_i1025" DrawAspect="Content" ObjectID="_1529918406" r:id="rId8"/>
        </w:object>
      </w:r>
    </w:p>
    <w:p w:rsidR="006A6664" w:rsidRDefault="006A6664" w:rsidP="00DF4E09">
      <w:pPr>
        <w:jc w:val="both"/>
        <w:rPr>
          <w:rFonts w:ascii="Arial" w:hAnsi="Arial" w:cs="Arial"/>
          <w:sz w:val="20"/>
          <w:szCs w:val="20"/>
        </w:rPr>
      </w:pPr>
    </w:p>
    <w:p w:rsidR="006A6664" w:rsidRDefault="006A6664" w:rsidP="00DF4E09">
      <w:pPr>
        <w:jc w:val="both"/>
        <w:rPr>
          <w:rFonts w:ascii="Arial" w:hAnsi="Arial" w:cs="Arial"/>
          <w:sz w:val="20"/>
          <w:szCs w:val="20"/>
        </w:rPr>
      </w:pPr>
    </w:p>
    <w:p w:rsidR="006A6664" w:rsidRPr="00DF4E09" w:rsidRDefault="006A6664" w:rsidP="00DF4E09">
      <w:pPr>
        <w:jc w:val="both"/>
        <w:rPr>
          <w:rFonts w:ascii="Arial" w:hAnsi="Arial" w:cs="Arial"/>
          <w:sz w:val="20"/>
          <w:szCs w:val="20"/>
        </w:rPr>
      </w:pPr>
    </w:p>
    <w:tbl>
      <w:tblPr>
        <w:tblW w:w="9244" w:type="dxa"/>
        <w:jc w:val="center"/>
        <w:tblLayout w:type="fixed"/>
        <w:tblCellMar>
          <w:left w:w="70" w:type="dxa"/>
          <w:right w:w="70" w:type="dxa"/>
        </w:tblCellMar>
        <w:tblLook w:val="0000"/>
      </w:tblPr>
      <w:tblGrid>
        <w:gridCol w:w="160"/>
        <w:gridCol w:w="5064"/>
        <w:gridCol w:w="2000"/>
        <w:gridCol w:w="2020"/>
      </w:tblGrid>
      <w:tr w:rsidR="00DF4E09" w:rsidRPr="00DF4E09" w:rsidTr="007620AF">
        <w:trPr>
          <w:trHeight w:val="252"/>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sz w:val="20"/>
                <w:szCs w:val="20"/>
              </w:rPr>
              <w:br w:type="page"/>
            </w:r>
            <w:r w:rsidRPr="00DF4E09">
              <w:rPr>
                <w:rFonts w:ascii="Arial" w:hAnsi="Arial" w:cs="Arial"/>
                <w:b/>
                <w:bCs/>
                <w:color w:val="000000"/>
                <w:sz w:val="20"/>
                <w:szCs w:val="20"/>
              </w:rPr>
              <w:t>Sistema Estatal de Evaluación</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Telefonía Rural de Sonora</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Conciliación entre los Ingresos Presupuestarios y Contables</w:t>
            </w:r>
          </w:p>
        </w:tc>
      </w:tr>
      <w:tr w:rsidR="00DF4E09" w:rsidRPr="00DF4E09" w:rsidTr="007620AF">
        <w:trPr>
          <w:trHeight w:val="264"/>
          <w:jc w:val="center"/>
        </w:trPr>
        <w:tc>
          <w:tcPr>
            <w:tcW w:w="9244" w:type="dxa"/>
            <w:gridSpan w:val="4"/>
            <w:tcBorders>
              <w:top w:val="single" w:sz="2" w:space="0" w:color="000000"/>
              <w:left w:val="single" w:sz="2" w:space="0" w:color="000000"/>
              <w:bottom w:val="single" w:sz="2" w:space="0" w:color="000000"/>
              <w:right w:val="single" w:sz="2" w:space="0" w:color="000000"/>
            </w:tcBorders>
          </w:tcPr>
          <w:p w:rsidR="00DF4E09" w:rsidRPr="00DF4E09" w:rsidRDefault="00DF4E09" w:rsidP="002423D2">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Del 01 de Enero al 3</w:t>
            </w:r>
            <w:r w:rsidR="002423D2">
              <w:rPr>
                <w:rFonts w:ascii="Arial" w:hAnsi="Arial" w:cs="Arial"/>
                <w:b/>
                <w:bCs/>
                <w:color w:val="000000"/>
                <w:sz w:val="20"/>
                <w:szCs w:val="20"/>
              </w:rPr>
              <w:t>0</w:t>
            </w:r>
            <w:r w:rsidRPr="00DF4E09">
              <w:rPr>
                <w:rFonts w:ascii="Arial" w:hAnsi="Arial" w:cs="Arial"/>
                <w:b/>
                <w:bCs/>
                <w:color w:val="000000"/>
                <w:sz w:val="20"/>
                <w:szCs w:val="20"/>
              </w:rPr>
              <w:t xml:space="preserve"> de </w:t>
            </w:r>
            <w:r w:rsidR="002423D2">
              <w:rPr>
                <w:rFonts w:ascii="Arial" w:hAnsi="Arial" w:cs="Arial"/>
                <w:b/>
                <w:bCs/>
                <w:color w:val="000000"/>
                <w:sz w:val="20"/>
                <w:szCs w:val="20"/>
              </w:rPr>
              <w:t>Junio</w:t>
            </w:r>
            <w:r w:rsidRPr="00DF4E09">
              <w:rPr>
                <w:rFonts w:ascii="Arial" w:hAnsi="Arial" w:cs="Arial"/>
                <w:b/>
                <w:bCs/>
                <w:color w:val="000000"/>
                <w:sz w:val="20"/>
                <w:szCs w:val="20"/>
              </w:rPr>
              <w:t xml:space="preserve"> de 201</w:t>
            </w:r>
            <w:r w:rsidR="002423D2">
              <w:rPr>
                <w:rFonts w:ascii="Arial" w:hAnsi="Arial" w:cs="Arial"/>
                <w:b/>
                <w:bCs/>
                <w:color w:val="000000"/>
                <w:sz w:val="20"/>
                <w:szCs w:val="20"/>
              </w:rPr>
              <w:t>5</w:t>
            </w:r>
          </w:p>
        </w:tc>
      </w:tr>
      <w:tr w:rsidR="00DF4E09" w:rsidRPr="00DF4E09" w:rsidTr="007620AF">
        <w:trPr>
          <w:trHeight w:val="264"/>
          <w:jc w:val="center"/>
        </w:trPr>
        <w:tc>
          <w:tcPr>
            <w:tcW w:w="5224" w:type="dxa"/>
            <w:gridSpan w:val="2"/>
            <w:tcBorders>
              <w:top w:val="single" w:sz="2" w:space="0" w:color="000000"/>
              <w:left w:val="single" w:sz="2" w:space="0" w:color="000000"/>
              <w:bottom w:val="single" w:sz="12" w:space="0" w:color="auto"/>
              <w:right w:val="nil"/>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(PESOS)</w:t>
            </w:r>
          </w:p>
        </w:tc>
        <w:tc>
          <w:tcPr>
            <w:tcW w:w="2000" w:type="dxa"/>
            <w:tcBorders>
              <w:top w:val="single" w:sz="2" w:space="0" w:color="000000"/>
              <w:left w:val="nil"/>
              <w:bottom w:val="single" w:sz="12" w:space="0" w:color="auto"/>
              <w:right w:val="nil"/>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nil"/>
              <w:bottom w:val="single" w:sz="12" w:space="0" w:color="auto"/>
              <w:right w:val="single" w:sz="2" w:space="0" w:color="000000"/>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r>
      <w:tr w:rsidR="00DF4E09" w:rsidRPr="00DF4E09" w:rsidTr="007620AF">
        <w:trPr>
          <w:trHeight w:val="454"/>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1. Ingresos Presupuestarios</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6A6664" w:rsidP="002423D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2,517,016.43</w:t>
            </w:r>
          </w:p>
        </w:tc>
      </w:tr>
      <w:tr w:rsidR="00DF4E09" w:rsidRPr="00DF4E09" w:rsidTr="007620AF">
        <w:trPr>
          <w:trHeight w:val="163"/>
          <w:jc w:val="center"/>
        </w:trPr>
        <w:tc>
          <w:tcPr>
            <w:tcW w:w="16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p>
        </w:tc>
        <w:tc>
          <w:tcPr>
            <w:tcW w:w="200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2" w:space="0" w:color="000000"/>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r>
      <w:tr w:rsidR="00DF4E09" w:rsidRPr="00DF4E09" w:rsidTr="007620AF">
        <w:trPr>
          <w:trHeight w:val="290"/>
          <w:jc w:val="center"/>
        </w:trPr>
        <w:tc>
          <w:tcPr>
            <w:tcW w:w="5224" w:type="dxa"/>
            <w:gridSpan w:val="2"/>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(MAS)</w:t>
            </w:r>
          </w:p>
        </w:tc>
        <w:tc>
          <w:tcPr>
            <w:tcW w:w="200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jc w:val="center"/>
              <w:rPr>
                <w:rFonts w:ascii="Arial" w:hAnsi="Arial" w:cs="Arial"/>
                <w:b/>
                <w:bCs/>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2. Ingresos contables no presupuestarios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DF4E09" w:rsidRPr="00DF4E09" w:rsidRDefault="006A6664" w:rsidP="003965B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1.29</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Incremento por variación de inventarios</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554"/>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p>
        </w:tc>
        <w:tc>
          <w:tcPr>
            <w:tcW w:w="9084" w:type="dxa"/>
            <w:gridSpan w:val="3"/>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estimaciones por pérdida o deterioro u obsolescencia</w:t>
            </w: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Disminución del exceso de provisiones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Otros Ingresos y beneficios varios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415"/>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contables no presupuestarios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6A6664" w:rsidP="002423D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1.29</w:t>
            </w: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125"/>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(MENOS)</w:t>
            </w:r>
          </w:p>
        </w:tc>
        <w:tc>
          <w:tcPr>
            <w:tcW w:w="2000" w:type="dxa"/>
            <w:tcBorders>
              <w:top w:val="single" w:sz="2" w:space="0" w:color="000000"/>
              <w:left w:val="single" w:sz="12" w:space="0" w:color="auto"/>
              <w:bottom w:val="single" w:sz="12" w:space="0" w:color="auto"/>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3. Ingresos presupuestarios no contables</w:t>
            </w:r>
          </w:p>
        </w:tc>
        <w:tc>
          <w:tcPr>
            <w:tcW w:w="2000" w:type="dxa"/>
            <w:tcBorders>
              <w:top w:val="single" w:sz="12" w:space="0" w:color="auto"/>
              <w:left w:val="single" w:sz="2" w:space="0" w:color="000000"/>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r w:rsidRPr="00DF4E09">
              <w:rPr>
                <w:rFonts w:ascii="Arial" w:hAnsi="Arial" w:cs="Arial"/>
                <w:b/>
                <w:bCs/>
                <w:color w:val="000000"/>
                <w:sz w:val="20"/>
                <w:szCs w:val="20"/>
              </w:rPr>
              <w:t>0</w:t>
            </w:r>
          </w:p>
        </w:tc>
      </w:tr>
      <w:tr w:rsidR="00DF4E09" w:rsidRPr="00DF4E09" w:rsidTr="007620AF">
        <w:trPr>
          <w:trHeight w:val="336"/>
          <w:jc w:val="center"/>
        </w:trPr>
        <w:tc>
          <w:tcPr>
            <w:tcW w:w="160" w:type="dxa"/>
            <w:tcBorders>
              <w:top w:val="single" w:sz="12" w:space="0" w:color="auto"/>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12" w:space="0" w:color="auto"/>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Productos de capital</w:t>
            </w:r>
          </w:p>
        </w:tc>
        <w:tc>
          <w:tcPr>
            <w:tcW w:w="2000" w:type="dxa"/>
            <w:tcBorders>
              <w:top w:val="single" w:sz="12" w:space="0" w:color="auto"/>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12" w:space="0" w:color="auto"/>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Aprovechamientos de capital</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2" w:space="0" w:color="000000"/>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r w:rsidRPr="00DF4E09">
              <w:rPr>
                <w:rFonts w:ascii="Arial" w:hAnsi="Arial" w:cs="Arial"/>
                <w:color w:val="000000"/>
                <w:sz w:val="20"/>
                <w:szCs w:val="20"/>
              </w:rPr>
              <w:t>Ingresos derivados de financiamientos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5224" w:type="dxa"/>
            <w:gridSpan w:val="2"/>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Otros Ingresos presupuestarios no contables</w:t>
            </w:r>
          </w:p>
        </w:tc>
        <w:tc>
          <w:tcPr>
            <w:tcW w:w="2000" w:type="dxa"/>
            <w:tcBorders>
              <w:top w:val="single" w:sz="2" w:space="0" w:color="000000"/>
              <w:left w:val="single" w:sz="12" w:space="0" w:color="auto"/>
              <w:bottom w:val="single" w:sz="2" w:space="0" w:color="000000"/>
              <w:right w:val="single" w:sz="12" w:space="0" w:color="auto"/>
            </w:tcBorders>
          </w:tcPr>
          <w:p w:rsidR="00DF4E09" w:rsidRPr="00DF4E09" w:rsidRDefault="00DF4E09" w:rsidP="003965BF">
            <w:pPr>
              <w:autoSpaceDE w:val="0"/>
              <w:autoSpaceDN w:val="0"/>
              <w:adjustRightInd w:val="0"/>
              <w:jc w:val="center"/>
              <w:rPr>
                <w:rFonts w:ascii="Arial" w:hAnsi="Arial" w:cs="Arial"/>
                <w:b/>
                <w:bCs/>
                <w:color w:val="000000"/>
                <w:sz w:val="20"/>
                <w:szCs w:val="20"/>
              </w:rPr>
            </w:pPr>
          </w:p>
        </w:tc>
        <w:tc>
          <w:tcPr>
            <w:tcW w:w="2020" w:type="dxa"/>
            <w:tcBorders>
              <w:top w:val="single" w:sz="2" w:space="0" w:color="000000"/>
              <w:left w:val="single" w:sz="12" w:space="0" w:color="auto"/>
              <w:bottom w:val="single" w:sz="2" w:space="0" w:color="000000"/>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336"/>
          <w:jc w:val="center"/>
        </w:trPr>
        <w:tc>
          <w:tcPr>
            <w:tcW w:w="160" w:type="dxa"/>
            <w:tcBorders>
              <w:top w:val="single" w:sz="2" w:space="0" w:color="000000"/>
              <w:left w:val="single" w:sz="12" w:space="0" w:color="auto"/>
              <w:bottom w:val="single" w:sz="12" w:space="0" w:color="auto"/>
              <w:right w:val="single" w:sz="2" w:space="0" w:color="000000"/>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5064" w:type="dxa"/>
            <w:tcBorders>
              <w:top w:val="single" w:sz="2" w:space="0" w:color="000000"/>
              <w:left w:val="single" w:sz="2" w:space="0" w:color="000000"/>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0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c>
          <w:tcPr>
            <w:tcW w:w="2020" w:type="dxa"/>
            <w:tcBorders>
              <w:top w:val="single" w:sz="2" w:space="0" w:color="000000"/>
              <w:left w:val="single" w:sz="12" w:space="0" w:color="auto"/>
              <w:bottom w:val="single" w:sz="12" w:space="0" w:color="auto"/>
              <w:right w:val="single" w:sz="12" w:space="0" w:color="auto"/>
            </w:tcBorders>
            <w:shd w:val="solid" w:color="FFFFFF" w:fill="auto"/>
          </w:tcPr>
          <w:p w:rsidR="00DF4E09" w:rsidRPr="00DF4E09" w:rsidRDefault="00DF4E09" w:rsidP="003965BF">
            <w:pPr>
              <w:autoSpaceDE w:val="0"/>
              <w:autoSpaceDN w:val="0"/>
              <w:adjustRightInd w:val="0"/>
              <w:rPr>
                <w:rFonts w:ascii="Arial" w:hAnsi="Arial" w:cs="Arial"/>
                <w:color w:val="000000"/>
                <w:sz w:val="20"/>
                <w:szCs w:val="20"/>
              </w:rPr>
            </w:pPr>
          </w:p>
        </w:tc>
      </w:tr>
      <w:tr w:rsidR="00DF4E09" w:rsidRPr="00DF4E09" w:rsidTr="007620AF">
        <w:trPr>
          <w:trHeight w:val="442"/>
          <w:jc w:val="center"/>
        </w:trPr>
        <w:tc>
          <w:tcPr>
            <w:tcW w:w="5224" w:type="dxa"/>
            <w:gridSpan w:val="2"/>
            <w:tcBorders>
              <w:top w:val="single" w:sz="12" w:space="0" w:color="auto"/>
              <w:left w:val="single" w:sz="12" w:space="0" w:color="auto"/>
              <w:bottom w:val="single" w:sz="12" w:space="0" w:color="auto"/>
              <w:right w:val="single" w:sz="2" w:space="0" w:color="000000"/>
            </w:tcBorders>
            <w:shd w:val="solid" w:color="C0C0C0" w:fill="auto"/>
          </w:tcPr>
          <w:p w:rsidR="00DF4E09" w:rsidRPr="00DF4E09" w:rsidRDefault="00DF4E09" w:rsidP="003965BF">
            <w:pPr>
              <w:autoSpaceDE w:val="0"/>
              <w:autoSpaceDN w:val="0"/>
              <w:adjustRightInd w:val="0"/>
              <w:rPr>
                <w:rFonts w:ascii="Arial" w:hAnsi="Arial" w:cs="Arial"/>
                <w:b/>
                <w:bCs/>
                <w:color w:val="000000"/>
                <w:sz w:val="20"/>
                <w:szCs w:val="20"/>
              </w:rPr>
            </w:pPr>
            <w:r w:rsidRPr="00DF4E09">
              <w:rPr>
                <w:rFonts w:ascii="Arial" w:hAnsi="Arial" w:cs="Arial"/>
                <w:b/>
                <w:bCs/>
                <w:color w:val="000000"/>
                <w:sz w:val="20"/>
                <w:szCs w:val="20"/>
              </w:rPr>
              <w:t>4. Ingresos Contables  (4=  1  +  2  -  3 )</w:t>
            </w:r>
          </w:p>
        </w:tc>
        <w:tc>
          <w:tcPr>
            <w:tcW w:w="2000" w:type="dxa"/>
            <w:tcBorders>
              <w:top w:val="single" w:sz="12" w:space="0" w:color="auto"/>
              <w:left w:val="single" w:sz="2" w:space="0" w:color="000000"/>
              <w:bottom w:val="single" w:sz="12" w:space="0" w:color="auto"/>
              <w:right w:val="single" w:sz="2" w:space="0" w:color="000000"/>
            </w:tcBorders>
            <w:shd w:val="solid" w:color="C0C0C0" w:fill="auto"/>
          </w:tcPr>
          <w:p w:rsidR="00DF4E09" w:rsidRPr="00DF4E09" w:rsidRDefault="00DF4E09" w:rsidP="003965BF">
            <w:pPr>
              <w:autoSpaceDE w:val="0"/>
              <w:autoSpaceDN w:val="0"/>
              <w:adjustRightInd w:val="0"/>
              <w:rPr>
                <w:rFonts w:ascii="Arial" w:hAnsi="Arial" w:cs="Arial"/>
                <w:color w:val="000000"/>
                <w:sz w:val="20"/>
                <w:szCs w:val="20"/>
              </w:rPr>
            </w:pPr>
          </w:p>
        </w:tc>
        <w:tc>
          <w:tcPr>
            <w:tcW w:w="2020" w:type="dxa"/>
            <w:tcBorders>
              <w:top w:val="single" w:sz="12" w:space="0" w:color="auto"/>
              <w:left w:val="single" w:sz="2" w:space="0" w:color="000000"/>
              <w:bottom w:val="single" w:sz="12" w:space="0" w:color="auto"/>
              <w:right w:val="single" w:sz="12" w:space="0" w:color="auto"/>
            </w:tcBorders>
            <w:shd w:val="solid" w:color="C0C0C0" w:fill="auto"/>
          </w:tcPr>
          <w:p w:rsidR="00DF4E09" w:rsidRPr="00DF4E09" w:rsidRDefault="00F410D6" w:rsidP="002423D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2,517,017.72</w:t>
            </w:r>
          </w:p>
        </w:tc>
      </w:tr>
    </w:tbl>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B554EC" w:rsidRDefault="00DF4E09" w:rsidP="00027034">
      <w:pPr>
        <w:pStyle w:val="Prrafodelista"/>
        <w:numPr>
          <w:ilvl w:val="0"/>
          <w:numId w:val="24"/>
        </w:numPr>
        <w:spacing w:after="0"/>
        <w:jc w:val="both"/>
        <w:rPr>
          <w:rFonts w:ascii="Arial" w:hAnsi="Arial" w:cs="Arial"/>
          <w:b/>
          <w:sz w:val="20"/>
          <w:szCs w:val="20"/>
          <w:lang w:val="es-ES"/>
        </w:rPr>
      </w:pPr>
      <w:r w:rsidRPr="00B554EC">
        <w:rPr>
          <w:rFonts w:ascii="Arial" w:hAnsi="Arial" w:cs="Arial"/>
          <w:b/>
          <w:sz w:val="20"/>
          <w:szCs w:val="20"/>
          <w:lang w:val="es-ES"/>
        </w:rPr>
        <w:t>NOTAS DE MEMORIA</w:t>
      </w:r>
    </w:p>
    <w:p w:rsidR="00B554EC" w:rsidRDefault="00B554EC" w:rsidP="00DF4E09">
      <w:pPr>
        <w:jc w:val="both"/>
        <w:rPr>
          <w:rFonts w:ascii="Arial" w:hAnsi="Arial" w:cs="Arial"/>
          <w:sz w:val="20"/>
          <w:szCs w:val="20"/>
        </w:rPr>
      </w:pPr>
    </w:p>
    <w:p w:rsidR="00DF4E09" w:rsidRPr="00B554EC" w:rsidRDefault="00DF4E09" w:rsidP="00DF4E09">
      <w:pPr>
        <w:jc w:val="both"/>
        <w:rPr>
          <w:rFonts w:ascii="Arial" w:hAnsi="Arial" w:cs="Arial"/>
          <w:b/>
          <w:sz w:val="20"/>
          <w:szCs w:val="20"/>
        </w:rPr>
      </w:pPr>
      <w:r w:rsidRPr="00B554EC">
        <w:rPr>
          <w:rFonts w:ascii="Arial" w:hAnsi="Arial" w:cs="Arial"/>
          <w:b/>
          <w:sz w:val="20"/>
          <w:szCs w:val="20"/>
        </w:rPr>
        <w:t>Cuentas de Orden Contables y Presupuestales</w:t>
      </w:r>
    </w:p>
    <w:p w:rsidR="00B554EC" w:rsidRPr="00DF4E09" w:rsidRDefault="00B554EC" w:rsidP="00DF4E09">
      <w:pPr>
        <w:jc w:val="both"/>
        <w:rPr>
          <w:rFonts w:ascii="Arial" w:hAnsi="Arial" w:cs="Arial"/>
          <w:sz w:val="20"/>
          <w:szCs w:val="20"/>
        </w:rPr>
      </w:pPr>
    </w:p>
    <w:p w:rsidR="00DF4E09" w:rsidRPr="00B33FB2" w:rsidRDefault="00DF4E09" w:rsidP="00DF4E09">
      <w:pPr>
        <w:jc w:val="both"/>
        <w:rPr>
          <w:rFonts w:ascii="Arial" w:hAnsi="Arial" w:cs="Arial"/>
          <w:sz w:val="20"/>
          <w:szCs w:val="20"/>
        </w:rPr>
      </w:pPr>
      <w:r w:rsidRPr="00B33FB2">
        <w:rPr>
          <w:rFonts w:ascii="Arial" w:hAnsi="Arial" w:cs="Arial"/>
          <w:sz w:val="20"/>
          <w:szCs w:val="20"/>
        </w:rPr>
        <w:t xml:space="preserve">1.- Cuentas de orden Contables. Esta Organismo presenta en  las cuentas de orden contables Demandas Judiciales en proceso de resolución debido a que se encuentra en proceso parte de la Secretaria de Hacienda y Crédito Público el cobro de Créditos fiscales por concepto de  uso de frecuencias de Radio </w:t>
      </w:r>
      <w:r w:rsidRPr="00811F4B">
        <w:rPr>
          <w:rFonts w:ascii="Arial" w:hAnsi="Arial" w:cs="Arial"/>
          <w:sz w:val="20"/>
          <w:szCs w:val="20"/>
          <w:highlight w:val="yellow"/>
        </w:rPr>
        <w:t>$</w:t>
      </w:r>
      <w:r w:rsidR="00B33FB2" w:rsidRPr="00811F4B">
        <w:rPr>
          <w:rFonts w:ascii="Arial" w:hAnsi="Arial" w:cs="Arial"/>
          <w:sz w:val="20"/>
          <w:szCs w:val="20"/>
          <w:highlight w:val="yellow"/>
        </w:rPr>
        <w:t>16,</w:t>
      </w:r>
      <w:r w:rsidR="003F0FCD">
        <w:rPr>
          <w:rFonts w:ascii="Arial" w:hAnsi="Arial" w:cs="Arial"/>
          <w:sz w:val="20"/>
          <w:szCs w:val="20"/>
          <w:highlight w:val="yellow"/>
        </w:rPr>
        <w:t>33</w:t>
      </w:r>
      <w:r w:rsidR="00B33FB2" w:rsidRPr="00811F4B">
        <w:rPr>
          <w:rFonts w:ascii="Arial" w:hAnsi="Arial" w:cs="Arial"/>
          <w:sz w:val="20"/>
          <w:szCs w:val="20"/>
          <w:highlight w:val="yellow"/>
        </w:rPr>
        <w:t>7,</w:t>
      </w:r>
      <w:r w:rsidR="003F0FCD">
        <w:rPr>
          <w:rFonts w:ascii="Arial" w:hAnsi="Arial" w:cs="Arial"/>
          <w:sz w:val="20"/>
          <w:szCs w:val="20"/>
          <w:highlight w:val="yellow"/>
        </w:rPr>
        <w:t>653.00</w:t>
      </w:r>
      <w:r w:rsidRPr="00811F4B">
        <w:rPr>
          <w:rFonts w:ascii="Arial" w:hAnsi="Arial" w:cs="Arial"/>
          <w:sz w:val="20"/>
          <w:szCs w:val="20"/>
          <w:highlight w:val="yellow"/>
        </w:rPr>
        <w:t xml:space="preserve"> (diez </w:t>
      </w:r>
      <w:r w:rsidR="00B33FB2" w:rsidRPr="00811F4B">
        <w:rPr>
          <w:rFonts w:ascii="Arial" w:hAnsi="Arial" w:cs="Arial"/>
          <w:sz w:val="20"/>
          <w:szCs w:val="20"/>
          <w:highlight w:val="yellow"/>
        </w:rPr>
        <w:t xml:space="preserve">y seis </w:t>
      </w:r>
      <w:r w:rsidRPr="00811F4B">
        <w:rPr>
          <w:rFonts w:ascii="Arial" w:hAnsi="Arial" w:cs="Arial"/>
          <w:sz w:val="20"/>
          <w:szCs w:val="20"/>
          <w:highlight w:val="yellow"/>
        </w:rPr>
        <w:t xml:space="preserve">millones </w:t>
      </w:r>
      <w:r w:rsidR="003F0FCD">
        <w:rPr>
          <w:rFonts w:ascii="Arial" w:hAnsi="Arial" w:cs="Arial"/>
          <w:sz w:val="20"/>
          <w:szCs w:val="20"/>
          <w:highlight w:val="yellow"/>
        </w:rPr>
        <w:t xml:space="preserve">trescientos treinta y siete </w:t>
      </w:r>
      <w:r w:rsidRPr="00811F4B">
        <w:rPr>
          <w:rFonts w:ascii="Arial" w:hAnsi="Arial" w:cs="Arial"/>
          <w:sz w:val="20"/>
          <w:szCs w:val="20"/>
          <w:highlight w:val="yellow"/>
        </w:rPr>
        <w:t xml:space="preserve">mil </w:t>
      </w:r>
      <w:r w:rsidR="003F0FCD">
        <w:rPr>
          <w:rFonts w:ascii="Arial" w:hAnsi="Arial" w:cs="Arial"/>
          <w:sz w:val="20"/>
          <w:szCs w:val="20"/>
          <w:highlight w:val="yellow"/>
        </w:rPr>
        <w:t>seisc</w:t>
      </w:r>
      <w:r w:rsidR="00B33FB2" w:rsidRPr="00811F4B">
        <w:rPr>
          <w:rFonts w:ascii="Arial" w:hAnsi="Arial" w:cs="Arial"/>
          <w:sz w:val="20"/>
          <w:szCs w:val="20"/>
          <w:highlight w:val="yellow"/>
        </w:rPr>
        <w:t>i</w:t>
      </w:r>
      <w:r w:rsidRPr="00811F4B">
        <w:rPr>
          <w:rFonts w:ascii="Arial" w:hAnsi="Arial" w:cs="Arial"/>
          <w:sz w:val="20"/>
          <w:szCs w:val="20"/>
          <w:highlight w:val="yellow"/>
        </w:rPr>
        <w:t>entos</w:t>
      </w:r>
      <w:r w:rsidR="003F0FCD">
        <w:rPr>
          <w:rFonts w:ascii="Arial" w:hAnsi="Arial" w:cs="Arial"/>
          <w:sz w:val="20"/>
          <w:szCs w:val="20"/>
          <w:highlight w:val="yellow"/>
        </w:rPr>
        <w:t xml:space="preserve"> cincuenta y tres</w:t>
      </w:r>
      <w:r w:rsidRPr="00811F4B">
        <w:rPr>
          <w:rFonts w:ascii="Arial" w:hAnsi="Arial" w:cs="Arial"/>
          <w:sz w:val="20"/>
          <w:szCs w:val="20"/>
          <w:highlight w:val="yellow"/>
        </w:rPr>
        <w:t xml:space="preserve"> pesos </w:t>
      </w:r>
      <w:r w:rsidR="003F0FCD">
        <w:rPr>
          <w:rFonts w:ascii="Arial" w:hAnsi="Arial" w:cs="Arial"/>
          <w:sz w:val="20"/>
          <w:szCs w:val="20"/>
          <w:highlight w:val="yellow"/>
        </w:rPr>
        <w:t>00</w:t>
      </w:r>
      <w:r w:rsidRPr="00811F4B">
        <w:rPr>
          <w:rFonts w:ascii="Arial" w:hAnsi="Arial" w:cs="Arial"/>
          <w:sz w:val="20"/>
          <w:szCs w:val="20"/>
          <w:highlight w:val="yellow"/>
        </w:rPr>
        <w:t>/100 m. n. ); así mismo se encuentra  en juicio la demanda por despido injustificado del ex director de este Organismo Jesús Alberto Félix Ibarra $</w:t>
      </w:r>
      <w:r w:rsidR="003F0FCD">
        <w:rPr>
          <w:rFonts w:ascii="Arial" w:hAnsi="Arial" w:cs="Arial"/>
          <w:sz w:val="20"/>
          <w:szCs w:val="20"/>
          <w:highlight w:val="yellow"/>
        </w:rPr>
        <w:t>2</w:t>
      </w:r>
      <w:r w:rsidRPr="00811F4B">
        <w:rPr>
          <w:rFonts w:ascii="Arial" w:hAnsi="Arial" w:cs="Arial"/>
          <w:sz w:val="20"/>
          <w:szCs w:val="20"/>
          <w:highlight w:val="yellow"/>
        </w:rPr>
        <w:t>,</w:t>
      </w:r>
      <w:r w:rsidR="003F0FCD">
        <w:rPr>
          <w:rFonts w:ascii="Arial" w:hAnsi="Arial" w:cs="Arial"/>
          <w:sz w:val="20"/>
          <w:szCs w:val="20"/>
          <w:highlight w:val="yellow"/>
        </w:rPr>
        <w:t>037</w:t>
      </w:r>
      <w:r w:rsidR="00B33FB2" w:rsidRPr="00811F4B">
        <w:rPr>
          <w:rFonts w:ascii="Arial" w:hAnsi="Arial" w:cs="Arial"/>
          <w:sz w:val="20"/>
          <w:szCs w:val="20"/>
          <w:highlight w:val="yellow"/>
        </w:rPr>
        <w:t>,</w:t>
      </w:r>
      <w:r w:rsidR="003F0FCD">
        <w:rPr>
          <w:rFonts w:ascii="Arial" w:hAnsi="Arial" w:cs="Arial"/>
          <w:sz w:val="20"/>
          <w:szCs w:val="20"/>
          <w:highlight w:val="yellow"/>
        </w:rPr>
        <w:t>054.60</w:t>
      </w:r>
      <w:r w:rsidRPr="00811F4B">
        <w:rPr>
          <w:rFonts w:ascii="Arial" w:hAnsi="Arial" w:cs="Arial"/>
          <w:sz w:val="20"/>
          <w:szCs w:val="20"/>
          <w:highlight w:val="yellow"/>
        </w:rPr>
        <w:t xml:space="preserve"> (</w:t>
      </w:r>
      <w:r w:rsidR="003F0FCD">
        <w:rPr>
          <w:rFonts w:ascii="Arial" w:hAnsi="Arial" w:cs="Arial"/>
          <w:sz w:val="20"/>
          <w:szCs w:val="20"/>
          <w:highlight w:val="yellow"/>
        </w:rPr>
        <w:t>Dos millo</w:t>
      </w:r>
      <w:r w:rsidRPr="00811F4B">
        <w:rPr>
          <w:rFonts w:ascii="Arial" w:hAnsi="Arial" w:cs="Arial"/>
          <w:sz w:val="20"/>
          <w:szCs w:val="20"/>
          <w:highlight w:val="yellow"/>
        </w:rPr>
        <w:t>n</w:t>
      </w:r>
      <w:r w:rsidR="003F0FCD">
        <w:rPr>
          <w:rFonts w:ascii="Arial" w:hAnsi="Arial" w:cs="Arial"/>
          <w:sz w:val="20"/>
          <w:szCs w:val="20"/>
          <w:highlight w:val="yellow"/>
        </w:rPr>
        <w:t>es</w:t>
      </w:r>
      <w:r w:rsidRPr="00811F4B">
        <w:rPr>
          <w:rFonts w:ascii="Arial" w:hAnsi="Arial" w:cs="Arial"/>
          <w:sz w:val="20"/>
          <w:szCs w:val="20"/>
          <w:highlight w:val="yellow"/>
        </w:rPr>
        <w:t xml:space="preserve"> </w:t>
      </w:r>
      <w:r w:rsidR="003F0FCD">
        <w:rPr>
          <w:rFonts w:ascii="Arial" w:hAnsi="Arial" w:cs="Arial"/>
          <w:sz w:val="20"/>
          <w:szCs w:val="20"/>
          <w:highlight w:val="yellow"/>
        </w:rPr>
        <w:t>treinta y siete mil cincuenta y cuatro</w:t>
      </w:r>
      <w:r w:rsidRPr="00811F4B">
        <w:rPr>
          <w:rFonts w:ascii="Arial" w:hAnsi="Arial" w:cs="Arial"/>
          <w:sz w:val="20"/>
          <w:szCs w:val="20"/>
          <w:highlight w:val="yellow"/>
        </w:rPr>
        <w:t xml:space="preserve"> pesos </w:t>
      </w:r>
      <w:r w:rsidR="003F0FCD">
        <w:rPr>
          <w:rFonts w:ascii="Arial" w:hAnsi="Arial" w:cs="Arial"/>
          <w:sz w:val="20"/>
          <w:szCs w:val="20"/>
          <w:highlight w:val="yellow"/>
        </w:rPr>
        <w:t>60</w:t>
      </w:r>
      <w:r w:rsidRPr="00811F4B">
        <w:rPr>
          <w:rFonts w:ascii="Arial" w:hAnsi="Arial" w:cs="Arial"/>
          <w:sz w:val="20"/>
          <w:szCs w:val="20"/>
          <w:highlight w:val="yellow"/>
        </w:rPr>
        <w:t>/100 m. n. ),</w:t>
      </w:r>
      <w:r w:rsidRPr="00B33FB2">
        <w:rPr>
          <w:rFonts w:ascii="Arial" w:hAnsi="Arial" w:cs="Arial"/>
          <w:sz w:val="20"/>
          <w:szCs w:val="20"/>
        </w:rPr>
        <w:t xml:space="preserve"> dando un total de $</w:t>
      </w:r>
      <w:r w:rsidR="00811F4B">
        <w:rPr>
          <w:rFonts w:ascii="Arial" w:hAnsi="Arial" w:cs="Arial"/>
          <w:sz w:val="20"/>
          <w:szCs w:val="20"/>
        </w:rPr>
        <w:t>18,374,707.60</w:t>
      </w:r>
      <w:r w:rsidRPr="00B33FB2">
        <w:rPr>
          <w:rFonts w:ascii="Arial" w:hAnsi="Arial" w:cs="Arial"/>
          <w:sz w:val="20"/>
          <w:szCs w:val="20"/>
        </w:rPr>
        <w:t xml:space="preserve"> (</w:t>
      </w:r>
      <w:r w:rsidR="00811F4B">
        <w:rPr>
          <w:rFonts w:ascii="Arial" w:hAnsi="Arial" w:cs="Arial"/>
          <w:sz w:val="20"/>
          <w:szCs w:val="20"/>
        </w:rPr>
        <w:t>Diez y ocho</w:t>
      </w:r>
      <w:r w:rsidRPr="00B33FB2">
        <w:rPr>
          <w:rFonts w:ascii="Arial" w:hAnsi="Arial" w:cs="Arial"/>
          <w:sz w:val="20"/>
          <w:szCs w:val="20"/>
        </w:rPr>
        <w:t xml:space="preserve"> millones </w:t>
      </w:r>
      <w:r w:rsidR="00811F4B">
        <w:rPr>
          <w:rFonts w:ascii="Arial" w:hAnsi="Arial" w:cs="Arial"/>
          <w:sz w:val="20"/>
          <w:szCs w:val="20"/>
        </w:rPr>
        <w:t>trescientos setenta y cuatro mil setecientos siete</w:t>
      </w:r>
      <w:r w:rsidR="00C5691B">
        <w:rPr>
          <w:rFonts w:ascii="Arial" w:hAnsi="Arial" w:cs="Arial"/>
          <w:sz w:val="20"/>
          <w:szCs w:val="20"/>
        </w:rPr>
        <w:t xml:space="preserve"> </w:t>
      </w:r>
      <w:r w:rsidRPr="00B33FB2">
        <w:rPr>
          <w:rFonts w:ascii="Arial" w:hAnsi="Arial" w:cs="Arial"/>
          <w:sz w:val="20"/>
          <w:szCs w:val="20"/>
        </w:rPr>
        <w:t xml:space="preserve">pesos </w:t>
      </w:r>
      <w:r w:rsidR="00811F4B">
        <w:rPr>
          <w:rFonts w:ascii="Arial" w:hAnsi="Arial" w:cs="Arial"/>
          <w:sz w:val="20"/>
          <w:szCs w:val="20"/>
        </w:rPr>
        <w:t>60</w:t>
      </w:r>
      <w:r w:rsidRPr="00B33FB2">
        <w:rPr>
          <w:rFonts w:ascii="Arial" w:hAnsi="Arial" w:cs="Arial"/>
          <w:sz w:val="20"/>
          <w:szCs w:val="20"/>
        </w:rPr>
        <w:t>/100 m. n.).</w:t>
      </w:r>
    </w:p>
    <w:p w:rsidR="00F410D6" w:rsidRDefault="00F410D6"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B33FB2">
        <w:rPr>
          <w:rFonts w:ascii="Arial" w:hAnsi="Arial" w:cs="Arial"/>
          <w:sz w:val="20"/>
          <w:szCs w:val="20"/>
        </w:rPr>
        <w:t>2.- Bienes bajo contrato de comodato por un importe de $327,000.00 (tres cientos veintisiete mil pesos 00/100 m. n.) por el comodato del Pick up Ford 2008, propiedad de la Secretaría de Infraestructura y Desarrollo Urbano.</w:t>
      </w:r>
    </w:p>
    <w:p w:rsidR="00DF4E09" w:rsidRDefault="00DF4E09" w:rsidP="00DF4E09">
      <w:pPr>
        <w:jc w:val="both"/>
        <w:rPr>
          <w:rFonts w:ascii="Arial" w:hAnsi="Arial" w:cs="Arial"/>
          <w:sz w:val="20"/>
          <w:szCs w:val="20"/>
        </w:rPr>
      </w:pPr>
    </w:p>
    <w:p w:rsidR="00F410D6" w:rsidRPr="00DF4E09" w:rsidRDefault="00F410D6" w:rsidP="00DF4E09">
      <w:pPr>
        <w:jc w:val="both"/>
        <w:rPr>
          <w:rFonts w:ascii="Arial" w:hAnsi="Arial" w:cs="Arial"/>
          <w:sz w:val="20"/>
          <w:szCs w:val="20"/>
        </w:rPr>
      </w:pPr>
    </w:p>
    <w:p w:rsidR="00DF4E09" w:rsidRPr="00DF4E09" w:rsidRDefault="00DF4E09" w:rsidP="00027034">
      <w:pPr>
        <w:pStyle w:val="Prrafodelista"/>
        <w:numPr>
          <w:ilvl w:val="0"/>
          <w:numId w:val="24"/>
        </w:numPr>
        <w:spacing w:after="0"/>
        <w:jc w:val="both"/>
        <w:rPr>
          <w:rFonts w:ascii="Arial" w:hAnsi="Arial" w:cs="Arial"/>
          <w:sz w:val="20"/>
          <w:szCs w:val="20"/>
          <w:lang w:val="es-ES"/>
        </w:rPr>
      </w:pPr>
      <w:r w:rsidRPr="00DF4E09">
        <w:rPr>
          <w:rFonts w:ascii="Arial" w:hAnsi="Arial" w:cs="Arial"/>
          <w:sz w:val="20"/>
          <w:szCs w:val="20"/>
          <w:lang w:val="es-ES"/>
        </w:rPr>
        <w:t>NOTAS DE GESTION ADMINISTRATIVA</w:t>
      </w:r>
    </w:p>
    <w:p w:rsidR="00811F4B" w:rsidRDefault="00811F4B"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 Introducción.</w:t>
      </w:r>
    </w:p>
    <w:p w:rsidR="00811F4B" w:rsidRDefault="00811F4B"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proveen de información financiera a sus principales usuarios, la ciudadanía, a la Secretaria de Infraestructura y Desarrollo Urbano, a Secretaria de Hacienda que integran el Poder Ejecutivo del Gobierno del Estado, al H. Congreso del Estado de Sonora, a las Entidades Fiscalizadoras.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El objetivo del presente documento es la revelación del contexto</w:t>
      </w:r>
      <w:r w:rsidR="007F2C5D">
        <w:rPr>
          <w:rFonts w:ascii="Arial" w:hAnsi="Arial" w:cs="Arial"/>
          <w:sz w:val="20"/>
          <w:szCs w:val="20"/>
        </w:rPr>
        <w:t xml:space="preserve"> y de los aspectos económicos  f</w:t>
      </w:r>
      <w:r w:rsidRPr="00DF4E09">
        <w:rPr>
          <w:rFonts w:ascii="Arial" w:hAnsi="Arial" w:cs="Arial"/>
          <w:sz w:val="20"/>
          <w:szCs w:val="20"/>
        </w:rPr>
        <w:t>inancieros más relevantes que influyeron en las decisiones del periodo y que deberán ser  considerados en la elaboración de los estados financieros para la mayor compresión de los mismos.</w:t>
      </w:r>
    </w:p>
    <w:p w:rsidR="00DF4E09" w:rsidRPr="00DF4E09" w:rsidRDefault="00DF4E09" w:rsidP="00DF4E09">
      <w:pPr>
        <w:jc w:val="both"/>
        <w:rPr>
          <w:rFonts w:ascii="Arial" w:hAnsi="Arial" w:cs="Arial"/>
          <w:sz w:val="20"/>
          <w:szCs w:val="20"/>
        </w:rPr>
      </w:pPr>
      <w:r w:rsidRPr="00DF4E09">
        <w:rPr>
          <w:rFonts w:ascii="Arial" w:hAnsi="Arial" w:cs="Arial"/>
          <w:sz w:val="20"/>
          <w:szCs w:val="20"/>
        </w:rPr>
        <w:t>Los Estados Financieros de Telefonía Rural de Sonora son elaborados por la Subdirección  Administrativa  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emitidos por el Consejo Nacional de Armonización Contable (CONAC), siendo esta una fuente de información confiable, que facilita las tareas de evaluación y fiscalización del origen de los ingresos y del destino del gasto, cabe señalar aún se están realizando trabajos para cumplir con dichas disposiciones.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2.-Panorama Económico y Financiero.</w:t>
      </w:r>
    </w:p>
    <w:p w:rsidR="00DF4E09" w:rsidRPr="00DF4E09" w:rsidRDefault="00DF4E09" w:rsidP="00DF4E09">
      <w:pPr>
        <w:jc w:val="both"/>
        <w:rPr>
          <w:rFonts w:ascii="Arial" w:hAnsi="Arial" w:cs="Arial"/>
          <w:sz w:val="20"/>
          <w:szCs w:val="20"/>
        </w:rPr>
      </w:pPr>
      <w:r w:rsidRPr="00DF4E09">
        <w:rPr>
          <w:rFonts w:ascii="Arial" w:hAnsi="Arial" w:cs="Arial"/>
          <w:sz w:val="20"/>
          <w:szCs w:val="20"/>
        </w:rPr>
        <w:t>Con respecto al entorno bajo el cual se desarrollan las operaciones del Organismo, se presentan bajas  expectativa de mejorar condiciones económicas por parte de los financiamientos para inversión en equipo  que recibe por parte de los Gobiernos del Estado y  Gobierno Federal, que de cierta manera inciden en el servicio prestado, sin embargo aun cuando son tiempos  difíciles en los cuales Telefonía Rural cuenta con el apoyo de recursos propios para gastos de operación y mantenimiento  de la red, estos no fluyen como deberían debido a que algunos de estos recursos no han sido recibidos en tiempo, anualmente se ha operado con menos recursos por parte de los que aporta el Gobierno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Lo anterior, implica realizar un esfuerzo en la aplicación de los recursos, aunado a las medidas y condiciones de austeridad y de racionalidad. Sin embargo, el Organismo ha crecido en su cobertura  y tal esfuerzo ha sido con los mismos recursos presupuestales.</w:t>
      </w:r>
      <w:r w:rsidRPr="00DF4E09">
        <w:rPr>
          <w:rFonts w:ascii="Arial" w:hAnsi="Arial" w:cs="Arial"/>
          <w:sz w:val="20"/>
          <w:szCs w:val="20"/>
        </w:rPr>
        <w:cr/>
      </w:r>
    </w:p>
    <w:p w:rsidR="00DF4E09" w:rsidRPr="00DF4E09" w:rsidRDefault="00DF4E09" w:rsidP="00DF4E09">
      <w:pPr>
        <w:jc w:val="both"/>
        <w:rPr>
          <w:rFonts w:ascii="Arial" w:hAnsi="Arial" w:cs="Arial"/>
          <w:sz w:val="20"/>
          <w:szCs w:val="20"/>
        </w:rPr>
      </w:pPr>
      <w:r w:rsidRPr="00DF4E09">
        <w:rPr>
          <w:rFonts w:ascii="Arial" w:hAnsi="Arial" w:cs="Arial"/>
          <w:sz w:val="20"/>
          <w:szCs w:val="20"/>
        </w:rPr>
        <w:t>3.-Autorizacion e Historia.</w:t>
      </w:r>
    </w:p>
    <w:p w:rsidR="00DF4E09" w:rsidRPr="00DF4E09" w:rsidRDefault="00DF4E09" w:rsidP="00DF4E09">
      <w:pPr>
        <w:jc w:val="both"/>
        <w:rPr>
          <w:rFonts w:ascii="Arial" w:hAnsi="Arial" w:cs="Arial"/>
          <w:sz w:val="20"/>
          <w:szCs w:val="20"/>
        </w:rPr>
      </w:pPr>
      <w:r w:rsidRPr="00DF4E09">
        <w:rPr>
          <w:rFonts w:ascii="Arial" w:hAnsi="Arial" w:cs="Arial"/>
          <w:sz w:val="20"/>
          <w:szCs w:val="20"/>
        </w:rPr>
        <w:t>a) Fecha de creación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Telefonía Rural de Sonora es un organismo descentralizado del Gobierno del Estado, con personalidad jurídica y patrimonio propio y tendrá por objeto la planeación, ejecución, conservación, operación y mantenimiento de la red de telefonía rural del estado vía satélite e </w:t>
      </w:r>
      <w:r w:rsidR="00811F4B" w:rsidRPr="00DF4E09">
        <w:rPr>
          <w:rFonts w:ascii="Arial" w:hAnsi="Arial" w:cs="Arial"/>
          <w:sz w:val="20"/>
          <w:szCs w:val="20"/>
        </w:rPr>
        <w:t>inalámbrico</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fue creado mediante decreto publicado en boletín oficial del día jueves 14 de marzo de 1991.</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Principales cambios en su estructura.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Este Organismo inicialmente tenía como cabeza de sector a la ahora desaparecida Secretaria de Planeación del Desarrollo y Gasto Público, siendo actualmente la Secretaría de Desarrollo Urbano, inicia con una dirección general, </w:t>
      </w:r>
      <w:r w:rsidRPr="00DF4E09">
        <w:rPr>
          <w:rFonts w:ascii="Arial" w:hAnsi="Arial" w:cs="Arial"/>
          <w:sz w:val="20"/>
          <w:szCs w:val="20"/>
        </w:rPr>
        <w:lastRenderedPageBreak/>
        <w:t>dos direcciones de área y una subdirección, después sufre una reducción de personal y en área de oficinas, debido a que disminuye  el servicio que prestaba siendo en aquel entonces solo telefónico, actualmente cuenta con tres subdirecciones y el servicio se ha incrementado notoriamente al introducir servicio de radiocomunicación y de conectividad a internet.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4.- Organización y Objeto Social.</w:t>
      </w:r>
    </w:p>
    <w:p w:rsidR="00DF4E09" w:rsidRPr="00DF4E09" w:rsidRDefault="00DF4E09" w:rsidP="00DF4E09">
      <w:pPr>
        <w:jc w:val="both"/>
        <w:rPr>
          <w:rFonts w:ascii="Arial" w:hAnsi="Arial" w:cs="Arial"/>
          <w:sz w:val="20"/>
          <w:szCs w:val="20"/>
        </w:rPr>
      </w:pPr>
      <w:r w:rsidRPr="00DF4E09">
        <w:rPr>
          <w:rFonts w:ascii="Arial" w:hAnsi="Arial" w:cs="Arial"/>
          <w:sz w:val="20"/>
          <w:szCs w:val="20"/>
        </w:rPr>
        <w:t>a) Objeto Social. Telefonía Rural de Sonora nace con el fin de brindar un servicio social a los pueblos más pequeños del Estado de Sonora, al lograr comunicarlos por medio de una caseta telefónica.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b) Principal actividad. </w:t>
      </w:r>
    </w:p>
    <w:p w:rsidR="00DF4E09" w:rsidRPr="00DF4E09" w:rsidRDefault="00DF4E09" w:rsidP="00DF4E09">
      <w:pPr>
        <w:jc w:val="both"/>
        <w:rPr>
          <w:rFonts w:ascii="Arial" w:hAnsi="Arial" w:cs="Arial"/>
          <w:sz w:val="20"/>
          <w:szCs w:val="20"/>
        </w:rPr>
      </w:pPr>
      <w:r w:rsidRPr="00DF4E09">
        <w:rPr>
          <w:rFonts w:ascii="Arial" w:hAnsi="Arial" w:cs="Arial"/>
          <w:sz w:val="20"/>
          <w:szCs w:val="20"/>
        </w:rPr>
        <w:t>La principal actividad de este Organismo es brindar servicios de comunicación a las regiones rurales del estado.</w:t>
      </w:r>
      <w:r w:rsidR="00FB6DA5">
        <w:rPr>
          <w:rFonts w:ascii="Arial" w:hAnsi="Arial" w:cs="Arial"/>
          <w:sz w:val="20"/>
          <w:szCs w:val="20"/>
        </w:rPr>
        <w:t xml:space="preserve"> Brindando actualmente servicio telefónico, de radiocomunicación y de conectividad a internet en poblaciones rurales del Estado de Sonora.</w:t>
      </w:r>
    </w:p>
    <w:p w:rsidR="00811F4B" w:rsidRPr="00DF4E09" w:rsidRDefault="00811F4B"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Ejercicio Fiscal.</w:t>
      </w:r>
    </w:p>
    <w:p w:rsidR="00DF4E09" w:rsidRPr="00DF4E09" w:rsidRDefault="00DF4E09" w:rsidP="00DF4E09">
      <w:pPr>
        <w:jc w:val="both"/>
        <w:rPr>
          <w:rFonts w:ascii="Arial" w:hAnsi="Arial" w:cs="Arial"/>
          <w:sz w:val="20"/>
          <w:szCs w:val="20"/>
        </w:rPr>
      </w:pPr>
      <w:r w:rsidRPr="00DF4E09">
        <w:rPr>
          <w:rFonts w:ascii="Arial" w:hAnsi="Arial" w:cs="Arial"/>
          <w:sz w:val="20"/>
          <w:szCs w:val="20"/>
        </w:rPr>
        <w:t>Las cifras contenidas en los Estados Financieros y que se mencionan en estas notas se presentan al</w:t>
      </w:r>
      <w:r w:rsidR="00C5691B">
        <w:rPr>
          <w:rFonts w:ascii="Arial" w:hAnsi="Arial" w:cs="Arial"/>
          <w:sz w:val="20"/>
          <w:szCs w:val="20"/>
        </w:rPr>
        <w:t xml:space="preserve"> </w:t>
      </w:r>
      <w:r w:rsidRPr="00DF4E09">
        <w:rPr>
          <w:rFonts w:ascii="Arial" w:hAnsi="Arial" w:cs="Arial"/>
          <w:sz w:val="20"/>
          <w:szCs w:val="20"/>
        </w:rPr>
        <w:t>3</w:t>
      </w:r>
      <w:r w:rsidR="002423D2">
        <w:rPr>
          <w:rFonts w:ascii="Arial" w:hAnsi="Arial" w:cs="Arial"/>
          <w:sz w:val="20"/>
          <w:szCs w:val="20"/>
        </w:rPr>
        <w:t>0</w:t>
      </w:r>
      <w:r w:rsidRPr="00DF4E09">
        <w:rPr>
          <w:rFonts w:ascii="Arial" w:hAnsi="Arial" w:cs="Arial"/>
          <w:sz w:val="20"/>
          <w:szCs w:val="20"/>
        </w:rPr>
        <w:t xml:space="preserve"> de mes de </w:t>
      </w:r>
      <w:r w:rsidR="002423D2">
        <w:rPr>
          <w:rFonts w:ascii="Arial" w:hAnsi="Arial" w:cs="Arial"/>
          <w:sz w:val="20"/>
          <w:szCs w:val="20"/>
        </w:rPr>
        <w:t>Junio</w:t>
      </w:r>
      <w:r w:rsidR="00FB6DA5">
        <w:rPr>
          <w:rFonts w:ascii="Arial" w:hAnsi="Arial" w:cs="Arial"/>
          <w:sz w:val="20"/>
          <w:szCs w:val="20"/>
        </w:rPr>
        <w:t xml:space="preserve"> del Ejercicio Fiscal 201</w:t>
      </w:r>
      <w:r w:rsidR="00C5691B">
        <w:rPr>
          <w:rFonts w:ascii="Arial" w:hAnsi="Arial" w:cs="Arial"/>
          <w:sz w:val="20"/>
          <w:szCs w:val="20"/>
        </w:rPr>
        <w:t>6</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d) Régimen Jurídico.</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 los Estados Unidos Mexicanos.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General de Contabilidad Gubernamental.</w:t>
      </w:r>
    </w:p>
    <w:p w:rsidR="00DF4E09" w:rsidRPr="00DF4E09" w:rsidRDefault="00DF4E09" w:rsidP="00DF4E09">
      <w:pPr>
        <w:jc w:val="both"/>
        <w:rPr>
          <w:rFonts w:ascii="Arial" w:hAnsi="Arial" w:cs="Arial"/>
          <w:sz w:val="20"/>
          <w:szCs w:val="20"/>
        </w:rPr>
      </w:pPr>
      <w:r w:rsidRPr="00DF4E09">
        <w:rPr>
          <w:rFonts w:ascii="Arial" w:hAnsi="Arial" w:cs="Arial"/>
          <w:sz w:val="20"/>
          <w:szCs w:val="20"/>
        </w:rPr>
        <w:t>Constitución Política del Estado Libre y Soberano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Orgánica del Poder Ejecutivo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38 del Instituto de Seguridad y Servicios Sociales de los Trabajadores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40 de Planeación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54 de Responsabilidades de los Servidores Públicos del Estado y de los Municipios.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113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6 de Adquisiciones, Arrendamientos y Prestación de Servicios Relacionados con Bienes Muebles de la Administración Pública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No. 156, de Acceso a la Información Pública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Reglamento de la Ley del Presupuesto de Egresos, Contabilidad Gubernamental y Gasto Público Estatal.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obras publicas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federal de telecomunicaciones</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servicio civil</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 bienes y concesiones del Estado de Sonora</w:t>
      </w:r>
    </w:p>
    <w:p w:rsidR="00DF4E09" w:rsidRPr="00DF4E09" w:rsidRDefault="00DF4E09" w:rsidP="00DF4E09">
      <w:pPr>
        <w:jc w:val="both"/>
        <w:rPr>
          <w:rFonts w:ascii="Arial" w:hAnsi="Arial" w:cs="Arial"/>
          <w:sz w:val="20"/>
          <w:szCs w:val="20"/>
        </w:rPr>
      </w:pPr>
      <w:r w:rsidRPr="00DF4E09">
        <w:rPr>
          <w:rFonts w:ascii="Arial" w:hAnsi="Arial" w:cs="Arial"/>
          <w:sz w:val="20"/>
          <w:szCs w:val="20"/>
        </w:rPr>
        <w:t>Ley del ISSSTESON</w:t>
      </w:r>
    </w:p>
    <w:p w:rsidR="00DF4E09" w:rsidRDefault="00DF4E09" w:rsidP="00DF4E09">
      <w:pPr>
        <w:jc w:val="both"/>
        <w:rPr>
          <w:rFonts w:ascii="Arial" w:hAnsi="Arial" w:cs="Arial"/>
          <w:sz w:val="20"/>
          <w:szCs w:val="20"/>
        </w:rPr>
      </w:pPr>
      <w:r w:rsidRPr="00DF4E09">
        <w:rPr>
          <w:rFonts w:ascii="Arial" w:hAnsi="Arial" w:cs="Arial"/>
          <w:sz w:val="20"/>
          <w:szCs w:val="20"/>
        </w:rPr>
        <w:t>Ley del presupuesto de egresos, contabilidad gubernamental y gasto público estatal</w:t>
      </w:r>
    </w:p>
    <w:p w:rsidR="00FB6DA5" w:rsidRPr="00DF4E09" w:rsidRDefault="00FB6DA5" w:rsidP="00DF4E09">
      <w:pPr>
        <w:jc w:val="both"/>
        <w:rPr>
          <w:rFonts w:ascii="Arial" w:hAnsi="Arial" w:cs="Arial"/>
          <w:sz w:val="20"/>
          <w:szCs w:val="20"/>
        </w:rPr>
      </w:pPr>
      <w:r>
        <w:rPr>
          <w:rFonts w:ascii="Arial" w:hAnsi="Arial" w:cs="Arial"/>
          <w:sz w:val="20"/>
          <w:szCs w:val="20"/>
        </w:rPr>
        <w:t>Entre otras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e) Consideraciones fiscales del 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de Sonora es un Organismo descentralizado del Gobierno del Estado de Sonora, Persona Moral con fines no lucrativos y de conformidad con las leyes respectivas, no es contribuyente del Impuesto Sobre la Renta, ni del Impuesto Empresarial Tasa única, teniendo como obligaciones retener y enterar el Impuesto Sobre la Renta retenido a los trabajadores, profesionistas y arrendadores personas físicas así como de exigir la documentación que reúna los requisitos fiscales cuando se efectúen pagos a terceros y se esté obligado a ello en los términos de la Ley del Impuesto Sobre la Renta.</w:t>
      </w:r>
    </w:p>
    <w:p w:rsidR="00DF4E09" w:rsidRPr="00DF4E09" w:rsidRDefault="00DF4E09" w:rsidP="00DF4E09">
      <w:pPr>
        <w:jc w:val="both"/>
        <w:rPr>
          <w:rFonts w:ascii="Arial" w:hAnsi="Arial" w:cs="Arial"/>
          <w:sz w:val="20"/>
          <w:szCs w:val="20"/>
        </w:rPr>
      </w:pPr>
      <w:r w:rsidRPr="00DF4E09">
        <w:rPr>
          <w:rFonts w:ascii="Arial" w:hAnsi="Arial" w:cs="Arial"/>
          <w:sz w:val="20"/>
          <w:szCs w:val="20"/>
        </w:rPr>
        <w:t>Así mismo, El Organismo  es contribuyente del Impuesto al Valor Agregado que es cobrado por ingresos propios y por el que le es trasladado en la adquisición de bienes y servicios, el cual incluye como parte del costo de adquisición de dichos bienes o como parte de la erogación realizada,  en caso de que la adquisición sea con recursos estatales.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f) Estructura Organizacional Básica.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El Manual de Organización contempla la estructura Orgánica autorizada para el Organismo, aun cuando esta ha sufrido cambios pasando de dos Direcciones de Área y una Subdirección a tres Subdirecciones, Su contenido contempla las funciones principales de las distintas áreas que conforman la estructura orgánica y tiene por Objeto establecer la Organización y las Disposiciones que rigen el funcionamiento del mismo. Actualmente se encuentra </w:t>
      </w:r>
      <w:r w:rsidR="00811F4B" w:rsidRPr="00DF4E09">
        <w:rPr>
          <w:rFonts w:ascii="Arial" w:hAnsi="Arial" w:cs="Arial"/>
          <w:sz w:val="20"/>
          <w:szCs w:val="20"/>
        </w:rPr>
        <w:t>en proceso</w:t>
      </w:r>
      <w:r w:rsidRPr="00DF4E09">
        <w:rPr>
          <w:rFonts w:ascii="Arial" w:hAnsi="Arial" w:cs="Arial"/>
          <w:sz w:val="20"/>
          <w:szCs w:val="20"/>
        </w:rPr>
        <w:t xml:space="preserve"> de autorización los cambios al Reglamento Interior y una vez ya validado por la instancia correspondiente de parte del Gobierno del Estado de Sonora, se someterá a la autorización </w:t>
      </w:r>
      <w:r w:rsidR="00811F4B" w:rsidRPr="00DF4E09">
        <w:rPr>
          <w:rFonts w:ascii="Arial" w:hAnsi="Arial" w:cs="Arial"/>
          <w:sz w:val="20"/>
          <w:szCs w:val="20"/>
        </w:rPr>
        <w:t>del</w:t>
      </w:r>
      <w:r w:rsidRPr="00DF4E09">
        <w:rPr>
          <w:rFonts w:ascii="Arial" w:hAnsi="Arial" w:cs="Arial"/>
          <w:sz w:val="20"/>
          <w:szCs w:val="20"/>
        </w:rPr>
        <w:t xml:space="preserve"> H. Junta Directiva.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lastRenderedPageBreak/>
        <w:t>g) Fideicomisos, mandatos y análogos de los cuales es fideicomitente o fiduciario.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El Organismo no se encuentra en los supuestos de este apartado.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5.-Bases para la preparación de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a) En cumplimiento a las disposiciones emitidas de acuerdo a la LGCG, el Organismo ha venido implementando una serie de medidas tendiente a cumplir con dichas disposiciones, para lo cual se ha venido apoyando con diversas herramientas por medio del uso de las tecnologías de la información, en la cual se ha adquirido el programa diseñado por INDETEC, con el fin de cumplir la múltiple normatividad emitida por el Consejo de Armonización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Para la armonización del Sistema de Contabilidad Gubernamental, el Organismo se ha visto en la necesidad de adecuar dentro de su organización interna algunos procesos, así como implementar modificaciones en los diversos sistemas que le permitan dar cumplimiento a los diversos elementos técnicos-contables-fiscales,  el Marco Conceptual y los Postulados Básicos de Contabilidad Gubernamental, se dispone de lista de Cuentas alineadas al plan de cuentas; clasificadores presupuestarios armonizados y las respectivas matrices de conversión.</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b) La base de medición utilizada en el registro de las operaciones para la elaboración de los Estados Financieros es a Costo histórico.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c) Postulados básicos de la Contabilidad gubernamental aprobados por la CONAC.</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Sustancia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Entes Públicos</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Existencia Permanente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Revelación Suficiente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Importancia Relativa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Registro e Integración Presupuestaria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Consolidación de la Información Financiera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Devengo Contable</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Valuación</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Dualidad Económica</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 Consistencia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Normatividad supletoria. </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6.- Políticas de Contabilidad Significativas.</w:t>
      </w:r>
    </w:p>
    <w:p w:rsidR="00DF4E09" w:rsidRPr="00DF4E09" w:rsidRDefault="00DF4E09" w:rsidP="00DF4E09">
      <w:pPr>
        <w:jc w:val="both"/>
        <w:rPr>
          <w:rFonts w:ascii="Arial" w:hAnsi="Arial" w:cs="Arial"/>
          <w:sz w:val="20"/>
          <w:szCs w:val="20"/>
        </w:rPr>
      </w:pPr>
      <w:r w:rsidRPr="00DF4E09">
        <w:rPr>
          <w:rFonts w:ascii="Arial" w:hAnsi="Arial" w:cs="Arial"/>
          <w:sz w:val="20"/>
          <w:szCs w:val="20"/>
        </w:rPr>
        <w:t>a) En los presentes Estados Financieros no se aplica aún algún método para la actualización de los activos, pasivos y Hacienda Pública y/o Patrimonio.</w:t>
      </w:r>
    </w:p>
    <w:p w:rsidR="00DF4E09" w:rsidRPr="00DF4E09" w:rsidRDefault="00DF4E09" w:rsidP="00DF4E09">
      <w:pPr>
        <w:jc w:val="both"/>
        <w:rPr>
          <w:rFonts w:ascii="Arial" w:hAnsi="Arial" w:cs="Arial"/>
          <w:sz w:val="20"/>
          <w:szCs w:val="20"/>
        </w:rPr>
      </w:pPr>
      <w:r w:rsidRPr="00DF4E09">
        <w:rPr>
          <w:rFonts w:ascii="Arial" w:hAnsi="Arial" w:cs="Arial"/>
          <w:sz w:val="20"/>
          <w:szCs w:val="20"/>
        </w:rPr>
        <w:t>b) El Organismo no realizó operaciones en el extranjero.</w:t>
      </w:r>
    </w:p>
    <w:p w:rsidR="00DF4E09" w:rsidRPr="00DF4E09" w:rsidRDefault="00DF4E09" w:rsidP="00DF4E09">
      <w:pPr>
        <w:jc w:val="both"/>
        <w:rPr>
          <w:rFonts w:ascii="Arial" w:hAnsi="Arial" w:cs="Arial"/>
          <w:sz w:val="20"/>
          <w:szCs w:val="20"/>
        </w:rPr>
      </w:pPr>
      <w:r w:rsidRPr="00DF4E09">
        <w:rPr>
          <w:rFonts w:ascii="Arial" w:hAnsi="Arial" w:cs="Arial"/>
          <w:sz w:val="20"/>
          <w:szCs w:val="20"/>
        </w:rPr>
        <w:t>c) El Organismo no c</w:t>
      </w:r>
      <w:r w:rsidR="00FB6DA5">
        <w:rPr>
          <w:rFonts w:ascii="Arial" w:hAnsi="Arial" w:cs="Arial"/>
          <w:sz w:val="20"/>
          <w:szCs w:val="20"/>
        </w:rPr>
        <w:t>uenta con almacén</w:t>
      </w:r>
      <w:r w:rsidRPr="00DF4E09">
        <w:rPr>
          <w:rFonts w:ascii="Arial" w:hAnsi="Arial" w:cs="Arial"/>
          <w:sz w:val="20"/>
          <w:szCs w:val="20"/>
        </w:rPr>
        <w:t xml:space="preserve"> de insumos</w:t>
      </w:r>
      <w:r w:rsidR="00FB6DA5">
        <w:rPr>
          <w:rFonts w:ascii="Arial" w:hAnsi="Arial" w:cs="Arial"/>
          <w:sz w:val="20"/>
          <w:szCs w:val="20"/>
        </w:rPr>
        <w:t>, debido al servicio que presta</w:t>
      </w:r>
      <w:r w:rsidRPr="00DF4E09">
        <w:rPr>
          <w:rFonts w:ascii="Arial" w:hAnsi="Arial" w:cs="Arial"/>
          <w:sz w:val="20"/>
          <w:szCs w:val="20"/>
        </w:rPr>
        <w:t>.</w:t>
      </w: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d) Los Estados financieros aún no presentan registros </w:t>
      </w:r>
      <w:r w:rsidR="00FB6DA5">
        <w:rPr>
          <w:rFonts w:ascii="Arial" w:hAnsi="Arial" w:cs="Arial"/>
          <w:sz w:val="20"/>
          <w:szCs w:val="20"/>
        </w:rPr>
        <w:t>de provisiones para el momento</w:t>
      </w:r>
      <w:r w:rsidRPr="00DF4E09">
        <w:rPr>
          <w:rFonts w:ascii="Arial" w:hAnsi="Arial" w:cs="Arial"/>
          <w:sz w:val="20"/>
          <w:szCs w:val="20"/>
        </w:rPr>
        <w:t xml:space="preserve"> que se presente la necesidad de indemnizar al personal.</w:t>
      </w:r>
    </w:p>
    <w:p w:rsidR="00DF4E09" w:rsidRPr="00DF4E09" w:rsidRDefault="00DF4E09" w:rsidP="00DF4E09">
      <w:pPr>
        <w:jc w:val="both"/>
        <w:rPr>
          <w:rFonts w:ascii="Arial" w:hAnsi="Arial" w:cs="Arial"/>
          <w:sz w:val="20"/>
          <w:szCs w:val="20"/>
        </w:rPr>
      </w:pPr>
      <w:r w:rsidRPr="00DF4E09">
        <w:rPr>
          <w:rFonts w:ascii="Arial" w:hAnsi="Arial" w:cs="Arial"/>
          <w:sz w:val="20"/>
          <w:szCs w:val="20"/>
        </w:rPr>
        <w:t>e) Los Estados financieros no presentan registros de reservas.</w:t>
      </w:r>
    </w:p>
    <w:p w:rsidR="00DF4E09" w:rsidRPr="00DF4E09" w:rsidRDefault="00DF4E09" w:rsidP="00DF4E09">
      <w:pPr>
        <w:jc w:val="both"/>
        <w:rPr>
          <w:rFonts w:ascii="Arial" w:hAnsi="Arial" w:cs="Arial"/>
          <w:sz w:val="20"/>
          <w:szCs w:val="20"/>
        </w:rPr>
      </w:pPr>
      <w:r w:rsidRPr="00DF4E09">
        <w:rPr>
          <w:rFonts w:ascii="Arial" w:hAnsi="Arial" w:cs="Arial"/>
          <w:sz w:val="20"/>
          <w:szCs w:val="20"/>
        </w:rPr>
        <w:t>f) Provisiones.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g) Reservas. No se presentan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h) Cambios en políticas contables. En diciembre de 2012 se realiza el cambio en políticas contables lo que requirió un ajuste por dichos cambios y el cual se refleja en estados financieros.</w:t>
      </w:r>
    </w:p>
    <w:p w:rsidR="00DF4E09" w:rsidRPr="00DF4E09" w:rsidRDefault="00DF4E09" w:rsidP="00DF4E09">
      <w:pPr>
        <w:jc w:val="both"/>
        <w:rPr>
          <w:rFonts w:ascii="Arial" w:hAnsi="Arial" w:cs="Arial"/>
          <w:sz w:val="20"/>
          <w:szCs w:val="20"/>
        </w:rPr>
      </w:pPr>
      <w:r w:rsidRPr="00DF4E09">
        <w:rPr>
          <w:rFonts w:ascii="Arial" w:hAnsi="Arial" w:cs="Arial"/>
          <w:sz w:val="20"/>
          <w:szCs w:val="20"/>
        </w:rPr>
        <w:t>i) Reclasificaciones. No se presentan.</w:t>
      </w:r>
    </w:p>
    <w:p w:rsidR="00DF4E09" w:rsidRPr="00DF4E09" w:rsidRDefault="00DF4E09" w:rsidP="00DF4E09">
      <w:pPr>
        <w:jc w:val="both"/>
        <w:rPr>
          <w:rFonts w:ascii="Arial" w:hAnsi="Arial" w:cs="Arial"/>
          <w:sz w:val="20"/>
          <w:szCs w:val="20"/>
        </w:rPr>
      </w:pPr>
      <w:r w:rsidRPr="00DF4E09">
        <w:rPr>
          <w:rFonts w:ascii="Arial" w:hAnsi="Arial" w:cs="Arial"/>
          <w:sz w:val="20"/>
          <w:szCs w:val="20"/>
        </w:rPr>
        <w:t>j) Depuración y cancelación de saldos.</w:t>
      </w:r>
      <w:r w:rsidR="00FB6DA5">
        <w:rPr>
          <w:rFonts w:ascii="Arial" w:hAnsi="Arial" w:cs="Arial"/>
          <w:sz w:val="20"/>
          <w:szCs w:val="20"/>
        </w:rPr>
        <w:t xml:space="preserve"> No se realizo en este periodo.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7.- Posición en Moneda Extranjera y Protección por Riesgo Cambiario.</w:t>
      </w:r>
    </w:p>
    <w:p w:rsidR="00DF4E09" w:rsidRPr="00DF4E09" w:rsidRDefault="00DF4E09" w:rsidP="00DF4E09">
      <w:pPr>
        <w:jc w:val="both"/>
        <w:rPr>
          <w:rFonts w:ascii="Arial" w:hAnsi="Arial" w:cs="Arial"/>
          <w:sz w:val="20"/>
          <w:szCs w:val="20"/>
        </w:rPr>
      </w:pPr>
      <w:r w:rsidRPr="00DF4E09">
        <w:rPr>
          <w:rFonts w:ascii="Arial" w:hAnsi="Arial" w:cs="Arial"/>
          <w:sz w:val="20"/>
          <w:szCs w:val="20"/>
        </w:rPr>
        <w:t>Telefonía Rural  de Sonora no cuenta con operaciones en moneda extranjera.</w:t>
      </w:r>
    </w:p>
    <w:p w:rsidR="00DF4E09" w:rsidRPr="00DF4E09" w:rsidRDefault="00DF4E09" w:rsidP="00DF4E09">
      <w:pPr>
        <w:jc w:val="both"/>
        <w:rPr>
          <w:rFonts w:ascii="Arial" w:hAnsi="Arial" w:cs="Arial"/>
          <w:sz w:val="20"/>
          <w:szCs w:val="20"/>
        </w:rPr>
      </w:pPr>
      <w:r w:rsidRPr="00DF4E09">
        <w:rPr>
          <w:rFonts w:ascii="Arial" w:hAnsi="Arial" w:cs="Arial"/>
          <w:sz w:val="20"/>
          <w:szCs w:val="20"/>
        </w:rPr>
        <w:t>a) Activos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b) Pasivos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c) Posición en moneda extranjera.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d) Tipos de cambio. No aplica</w:t>
      </w:r>
    </w:p>
    <w:p w:rsidR="00DF4E09" w:rsidRPr="00DF4E09" w:rsidRDefault="00DF4E09" w:rsidP="00DF4E09">
      <w:pPr>
        <w:jc w:val="both"/>
        <w:rPr>
          <w:rFonts w:ascii="Arial" w:hAnsi="Arial" w:cs="Arial"/>
          <w:sz w:val="20"/>
          <w:szCs w:val="20"/>
        </w:rPr>
      </w:pPr>
      <w:r w:rsidRPr="00DF4E09">
        <w:rPr>
          <w:rFonts w:ascii="Arial" w:hAnsi="Arial" w:cs="Arial"/>
          <w:sz w:val="20"/>
          <w:szCs w:val="20"/>
        </w:rPr>
        <w:t>e) Equivalente en moneda nacional.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8.- Reporte Analítico del Activo.</w:t>
      </w:r>
    </w:p>
    <w:p w:rsidR="00DF4E09" w:rsidRDefault="00DF4E09" w:rsidP="00DF4E09">
      <w:pPr>
        <w:jc w:val="both"/>
        <w:rPr>
          <w:rFonts w:ascii="Arial" w:hAnsi="Arial" w:cs="Arial"/>
          <w:sz w:val="20"/>
          <w:szCs w:val="20"/>
        </w:rPr>
      </w:pPr>
      <w:r w:rsidRPr="00DF4E09">
        <w:rPr>
          <w:rFonts w:ascii="Arial" w:hAnsi="Arial" w:cs="Arial"/>
          <w:sz w:val="20"/>
          <w:szCs w:val="20"/>
        </w:rPr>
        <w:lastRenderedPageBreak/>
        <w:t xml:space="preserve">De los Activos registrados en los Estados Financieros </w:t>
      </w:r>
      <w:r w:rsidR="00B33FB2">
        <w:rPr>
          <w:rFonts w:ascii="Arial" w:hAnsi="Arial" w:cs="Arial"/>
          <w:sz w:val="20"/>
          <w:szCs w:val="20"/>
        </w:rPr>
        <w:t>de Telefonía Rural de Sonora, en diciembre de 2015 se registró</w:t>
      </w:r>
      <w:r w:rsidRPr="00DF4E09">
        <w:rPr>
          <w:rFonts w:ascii="Arial" w:hAnsi="Arial" w:cs="Arial"/>
          <w:sz w:val="20"/>
          <w:szCs w:val="20"/>
        </w:rPr>
        <w:t xml:space="preserve"> la depreciación</w:t>
      </w:r>
      <w:r w:rsidR="00B33FB2">
        <w:rPr>
          <w:rFonts w:ascii="Arial" w:hAnsi="Arial" w:cs="Arial"/>
          <w:sz w:val="20"/>
          <w:szCs w:val="20"/>
        </w:rPr>
        <w:t xml:space="preserve"> acumulada</w:t>
      </w:r>
      <w:r w:rsidRPr="00DF4E09">
        <w:rPr>
          <w:rFonts w:ascii="Arial" w:hAnsi="Arial" w:cs="Arial"/>
          <w:sz w:val="20"/>
          <w:szCs w:val="20"/>
        </w:rPr>
        <w:t xml:space="preserve">, y el deterioro de los Activos, </w:t>
      </w:r>
      <w:r w:rsidR="00B33FB2">
        <w:rPr>
          <w:rFonts w:ascii="Arial" w:hAnsi="Arial" w:cs="Arial"/>
          <w:sz w:val="20"/>
          <w:szCs w:val="20"/>
        </w:rPr>
        <w:t>y presenta un</w:t>
      </w:r>
      <w:r w:rsidR="00E92BE9">
        <w:rPr>
          <w:rFonts w:ascii="Arial" w:hAnsi="Arial" w:cs="Arial"/>
          <w:sz w:val="20"/>
          <w:szCs w:val="20"/>
        </w:rPr>
        <w:t xml:space="preserve">a cantidad considerable </w:t>
      </w:r>
      <w:r w:rsidR="00B33FB2">
        <w:rPr>
          <w:rFonts w:ascii="Arial" w:hAnsi="Arial" w:cs="Arial"/>
          <w:sz w:val="20"/>
          <w:szCs w:val="20"/>
        </w:rPr>
        <w:t xml:space="preserve">ya que la mayoría del </w:t>
      </w:r>
      <w:r w:rsidR="00E92BE9">
        <w:rPr>
          <w:rFonts w:ascii="Arial" w:hAnsi="Arial" w:cs="Arial"/>
          <w:sz w:val="20"/>
          <w:szCs w:val="20"/>
        </w:rPr>
        <w:t xml:space="preserve"> equipo data de </w:t>
      </w:r>
      <w:r w:rsidR="00811F4B">
        <w:rPr>
          <w:rFonts w:ascii="Arial" w:hAnsi="Arial" w:cs="Arial"/>
          <w:sz w:val="20"/>
          <w:szCs w:val="20"/>
        </w:rPr>
        <w:t>más</w:t>
      </w:r>
      <w:r w:rsidR="00E92BE9">
        <w:rPr>
          <w:rFonts w:ascii="Arial" w:hAnsi="Arial" w:cs="Arial"/>
          <w:sz w:val="20"/>
          <w:szCs w:val="20"/>
        </w:rPr>
        <w:t xml:space="preserve"> de 20 años, y mucho de </w:t>
      </w:r>
      <w:r w:rsidR="00811F4B">
        <w:rPr>
          <w:rFonts w:ascii="Arial" w:hAnsi="Arial" w:cs="Arial"/>
          <w:sz w:val="20"/>
          <w:szCs w:val="20"/>
        </w:rPr>
        <w:t>él</w:t>
      </w:r>
      <w:r w:rsidR="00E92BE9">
        <w:rPr>
          <w:rFonts w:ascii="Arial" w:hAnsi="Arial" w:cs="Arial"/>
          <w:sz w:val="20"/>
          <w:szCs w:val="20"/>
        </w:rPr>
        <w:t xml:space="preserve"> se encuentra en uso.</w:t>
      </w:r>
    </w:p>
    <w:p w:rsidR="00E92BE9" w:rsidRPr="00DF4E09" w:rsidRDefault="00E92BE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No se cuenta con gastos capitalizados en el ejercicio. Así como inversiones.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9.- Fideicomisos, Mandatos y Análogos.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10.- Reporte de la recaudación. En el presente ejercicio este</w:t>
      </w:r>
      <w:r w:rsidR="00DB7041">
        <w:rPr>
          <w:rFonts w:ascii="Arial" w:hAnsi="Arial" w:cs="Arial"/>
          <w:sz w:val="20"/>
          <w:szCs w:val="20"/>
        </w:rPr>
        <w:t xml:space="preserve"> Organismo logro recaudar un  35</w:t>
      </w:r>
      <w:r w:rsidRPr="00DF4E09">
        <w:rPr>
          <w:rFonts w:ascii="Arial" w:hAnsi="Arial" w:cs="Arial"/>
          <w:sz w:val="20"/>
          <w:szCs w:val="20"/>
        </w:rPr>
        <w:t>% de los ingresos devengados. Se continúa el trámite en vías de la recaudación del importe pendiente</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11.- Información sobre la deuda y el repo</w:t>
      </w:r>
      <w:r w:rsidR="00B20E07">
        <w:rPr>
          <w:rFonts w:ascii="Arial" w:hAnsi="Arial" w:cs="Arial"/>
          <w:sz w:val="20"/>
          <w:szCs w:val="20"/>
        </w:rPr>
        <w:t>r</w:t>
      </w:r>
      <w:r w:rsidRPr="00DF4E09">
        <w:rPr>
          <w:rFonts w:ascii="Arial" w:hAnsi="Arial" w:cs="Arial"/>
          <w:sz w:val="20"/>
          <w:szCs w:val="20"/>
        </w:rPr>
        <w:t>te analítico de la deuda.- La deuda del organismo se compone de pagos a proveedores y retenciones efectuadas a los trabajadores que se encuentran en proceso de pago.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12.- Calificaciones otorgadas.-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13.- Proceso de mejora.- No se cuenta con proceso específico de mejora, se llevan a cabo las reducciones y medidas dictadas para el Gobierno del Estado.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14.- Información por segmentos.- No se considera necesario.</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15.- Eventos posteriores al cierre.-</w:t>
      </w:r>
      <w:r w:rsidR="00B20E07">
        <w:rPr>
          <w:rFonts w:ascii="Arial" w:hAnsi="Arial" w:cs="Arial"/>
          <w:sz w:val="20"/>
          <w:szCs w:val="20"/>
        </w:rPr>
        <w:t xml:space="preserve"> No aplica</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16.- Partes relacionadas.- No existen partes relacionadas que pudieran ejercer influencia significativa sobre la toma de decisiones  financieras y operativas.</w:t>
      </w:r>
    </w:p>
    <w:p w:rsidR="00DF4E09" w:rsidRPr="00DF4E09" w:rsidRDefault="00DF4E09" w:rsidP="00DF4E09">
      <w:pPr>
        <w:jc w:val="both"/>
        <w:rPr>
          <w:rFonts w:ascii="Arial" w:hAnsi="Arial" w:cs="Arial"/>
          <w:sz w:val="20"/>
          <w:szCs w:val="20"/>
        </w:rPr>
      </w:pPr>
    </w:p>
    <w:p w:rsidR="00DF4E09" w:rsidRPr="00DF4E09" w:rsidRDefault="00DF4E09" w:rsidP="00DF4E09">
      <w:pPr>
        <w:jc w:val="both"/>
        <w:rPr>
          <w:rFonts w:ascii="Arial" w:hAnsi="Arial" w:cs="Arial"/>
          <w:sz w:val="20"/>
          <w:szCs w:val="20"/>
        </w:rPr>
      </w:pPr>
      <w:r w:rsidRPr="00DF4E09">
        <w:rPr>
          <w:rFonts w:ascii="Arial" w:hAnsi="Arial" w:cs="Arial"/>
          <w:sz w:val="20"/>
          <w:szCs w:val="20"/>
        </w:rPr>
        <w:t xml:space="preserve">17.- Responsabilidad sobre la Presentación Razonable de la Información Contable.- </w:t>
      </w:r>
    </w:p>
    <w:p w:rsidR="00DF4E09" w:rsidRDefault="00DF4E09" w:rsidP="00DF4E09">
      <w:pPr>
        <w:jc w:val="both"/>
        <w:rPr>
          <w:rFonts w:ascii="Arial" w:hAnsi="Arial" w:cs="Arial"/>
          <w:sz w:val="20"/>
          <w:szCs w:val="20"/>
        </w:rPr>
      </w:pPr>
      <w:r w:rsidRPr="00DF4E09">
        <w:rPr>
          <w:rFonts w:ascii="Arial" w:hAnsi="Arial" w:cs="Arial"/>
          <w:sz w:val="20"/>
          <w:szCs w:val="20"/>
        </w:rPr>
        <w:t>Bajo protesta de decir la verdad declaramos que los Estados Financieros y sus Notas, son razonablemente correctos y son responsabilidad del emisor</w:t>
      </w:r>
      <w:r w:rsidR="00986D0E">
        <w:rPr>
          <w:rFonts w:ascii="Arial" w:hAnsi="Arial" w:cs="Arial"/>
          <w:sz w:val="20"/>
          <w:szCs w:val="20"/>
        </w:rPr>
        <w:t>.</w:t>
      </w:r>
    </w:p>
    <w:p w:rsidR="00B20E07" w:rsidRDefault="00B20E07" w:rsidP="00DF4E09">
      <w:pPr>
        <w:jc w:val="both"/>
        <w:rPr>
          <w:rFonts w:ascii="Arial" w:hAnsi="Arial" w:cs="Arial"/>
          <w:sz w:val="20"/>
          <w:szCs w:val="20"/>
        </w:rPr>
      </w:pPr>
    </w:p>
    <w:p w:rsidR="00B20E07" w:rsidRPr="00DF4E09" w:rsidRDefault="00B20E07" w:rsidP="00DF4E09">
      <w:pPr>
        <w:jc w:val="both"/>
        <w:rPr>
          <w:rFonts w:ascii="Arial" w:hAnsi="Arial" w:cs="Arial"/>
          <w:sz w:val="20"/>
          <w:szCs w:val="20"/>
        </w:rPr>
      </w:pPr>
      <w:r>
        <w:rPr>
          <w:rFonts w:ascii="Arial" w:hAnsi="Arial" w:cs="Arial"/>
          <w:sz w:val="20"/>
          <w:szCs w:val="20"/>
        </w:rPr>
        <w:t>Firmas:</w:t>
      </w:r>
    </w:p>
    <w:p w:rsidR="00DF4E09" w:rsidRPr="00DF4E09" w:rsidRDefault="00DF4E09" w:rsidP="00DF4E09">
      <w:pPr>
        <w:jc w:val="both"/>
        <w:rPr>
          <w:rFonts w:ascii="Arial" w:hAnsi="Arial" w:cs="Arial"/>
          <w:sz w:val="20"/>
          <w:szCs w:val="20"/>
        </w:rPr>
      </w:pPr>
    </w:p>
    <w:p w:rsidR="00DF4E09" w:rsidRDefault="00DF4E09" w:rsidP="00DF4E09">
      <w:pPr>
        <w:jc w:val="both"/>
        <w:rPr>
          <w:rFonts w:ascii="Arial" w:hAnsi="Arial" w:cs="Arial"/>
          <w:sz w:val="20"/>
          <w:szCs w:val="20"/>
        </w:rPr>
      </w:pPr>
    </w:p>
    <w:p w:rsidR="00F24273" w:rsidRDefault="00F24273" w:rsidP="00DF4E09">
      <w:pPr>
        <w:jc w:val="both"/>
        <w:rPr>
          <w:rFonts w:ascii="Arial" w:hAnsi="Arial" w:cs="Arial"/>
          <w:sz w:val="20"/>
          <w:szCs w:val="20"/>
        </w:rPr>
      </w:pPr>
    </w:p>
    <w:p w:rsidR="00744DEC" w:rsidRPr="00DF4E09" w:rsidRDefault="00744DEC" w:rsidP="00DF4E09">
      <w:pPr>
        <w:jc w:val="both"/>
        <w:rPr>
          <w:rFonts w:ascii="Arial" w:hAnsi="Arial" w:cs="Arial"/>
          <w:sz w:val="20"/>
          <w:szCs w:val="20"/>
        </w:rPr>
      </w:pPr>
    </w:p>
    <w:p w:rsidR="00DF4E09" w:rsidRPr="00DF4E09" w:rsidRDefault="00F24273" w:rsidP="00DF4E09">
      <w:pPr>
        <w:ind w:firstLine="708"/>
        <w:jc w:val="both"/>
        <w:rPr>
          <w:rFonts w:ascii="Arial" w:hAnsi="Arial" w:cs="Arial"/>
          <w:sz w:val="20"/>
          <w:szCs w:val="20"/>
        </w:rPr>
      </w:pPr>
      <w:r>
        <w:rPr>
          <w:rFonts w:ascii="Arial" w:hAnsi="Arial" w:cs="Arial"/>
          <w:sz w:val="20"/>
          <w:szCs w:val="20"/>
        </w:rPr>
        <w:t>C.P. José Francisco Ortega Molina</w:t>
      </w:r>
      <w:r w:rsidR="00DF4E09" w:rsidRPr="00DF4E09">
        <w:rPr>
          <w:rFonts w:ascii="Arial" w:hAnsi="Arial" w:cs="Arial"/>
          <w:sz w:val="20"/>
          <w:szCs w:val="20"/>
        </w:rPr>
        <w:tab/>
      </w:r>
      <w:r w:rsidR="00DF4E09" w:rsidRPr="00DF4E09">
        <w:rPr>
          <w:rFonts w:ascii="Arial" w:hAnsi="Arial" w:cs="Arial"/>
          <w:sz w:val="20"/>
          <w:szCs w:val="20"/>
        </w:rPr>
        <w:tab/>
        <w:t>C.P. Refugio Carmelo Arriquives</w:t>
      </w:r>
    </w:p>
    <w:p w:rsidR="00DF4E09" w:rsidRPr="00DF4E09" w:rsidRDefault="004914E9" w:rsidP="00DF4E09">
      <w:pPr>
        <w:ind w:firstLine="708"/>
        <w:jc w:val="both"/>
        <w:rPr>
          <w:rFonts w:ascii="Arial" w:hAnsi="Arial" w:cs="Arial"/>
          <w:sz w:val="20"/>
          <w:szCs w:val="20"/>
        </w:rPr>
      </w:pPr>
      <w:r>
        <w:rPr>
          <w:rFonts w:ascii="Arial" w:hAnsi="Arial" w:cs="Arial"/>
          <w:sz w:val="20"/>
          <w:szCs w:val="20"/>
        </w:rPr>
        <w:tab/>
      </w:r>
      <w:r w:rsidR="00DF4E09" w:rsidRPr="00DF4E09">
        <w:rPr>
          <w:rFonts w:ascii="Arial" w:hAnsi="Arial" w:cs="Arial"/>
          <w:sz w:val="20"/>
          <w:szCs w:val="20"/>
        </w:rPr>
        <w:t xml:space="preserve"> Director General</w:t>
      </w:r>
      <w:r w:rsidR="00DF4E09" w:rsidRPr="00DF4E09">
        <w:rPr>
          <w:rFonts w:ascii="Arial" w:hAnsi="Arial" w:cs="Arial"/>
          <w:sz w:val="20"/>
          <w:szCs w:val="20"/>
        </w:rPr>
        <w:tab/>
      </w:r>
      <w:r w:rsidR="00DF4E09" w:rsidRPr="00DF4E09">
        <w:rPr>
          <w:rFonts w:ascii="Arial" w:hAnsi="Arial" w:cs="Arial"/>
          <w:sz w:val="20"/>
          <w:szCs w:val="20"/>
        </w:rPr>
        <w:tab/>
        <w:t>Encargada de la Subdirección Administrativa</w:t>
      </w:r>
    </w:p>
    <w:p w:rsidR="00214C34" w:rsidRPr="00DF4E09" w:rsidRDefault="00214C34" w:rsidP="001053CE">
      <w:pPr>
        <w:pStyle w:val="Sinespaciado"/>
        <w:rPr>
          <w:rFonts w:ascii="Arial" w:hAnsi="Arial" w:cs="Arial"/>
          <w:sz w:val="20"/>
          <w:szCs w:val="20"/>
        </w:rPr>
      </w:pPr>
    </w:p>
    <w:p w:rsidR="007765C0" w:rsidRPr="00DF4E09" w:rsidRDefault="007765C0" w:rsidP="001053CE">
      <w:pPr>
        <w:pStyle w:val="Sinespaciado"/>
        <w:rPr>
          <w:rFonts w:ascii="Arial" w:hAnsi="Arial" w:cs="Arial"/>
          <w:sz w:val="20"/>
          <w:szCs w:val="20"/>
        </w:rPr>
      </w:pPr>
    </w:p>
    <w:p w:rsidR="00214C34" w:rsidRPr="00DF4E09" w:rsidRDefault="00214C34" w:rsidP="00214C34">
      <w:pPr>
        <w:pStyle w:val="Default"/>
        <w:rPr>
          <w:sz w:val="20"/>
          <w:szCs w:val="20"/>
        </w:rPr>
      </w:pPr>
    </w:p>
    <w:sectPr w:rsidR="00214C34" w:rsidRPr="00DF4E09" w:rsidSect="001053CE">
      <w:headerReference w:type="default" r:id="rId9"/>
      <w:footerReference w:type="default" r:id="rId10"/>
      <w:pgSz w:w="11906" w:h="16838"/>
      <w:pgMar w:top="51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152" w:rsidRDefault="00C13152" w:rsidP="00AE0A10">
      <w:r>
        <w:separator/>
      </w:r>
    </w:p>
  </w:endnote>
  <w:endnote w:type="continuationSeparator" w:id="1">
    <w:p w:rsidR="00C13152" w:rsidRDefault="00C13152" w:rsidP="00AE0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A1" w:rsidRDefault="004F58B6">
    <w:pPr>
      <w:pStyle w:val="Piedepgina"/>
      <w:jc w:val="right"/>
    </w:pPr>
    <w:sdt>
      <w:sdtPr>
        <w:id w:val="11503860"/>
        <w:docPartObj>
          <w:docPartGallery w:val="Page Numbers (Bottom of Page)"/>
          <w:docPartUnique/>
        </w:docPartObj>
      </w:sdtPr>
      <w:sdtContent>
        <w:r>
          <w:fldChar w:fldCharType="begin"/>
        </w:r>
        <w:r w:rsidR="00811F4B">
          <w:instrText xml:space="preserve"> PAGE   \* MERGEFORMAT </w:instrText>
        </w:r>
        <w:r>
          <w:fldChar w:fldCharType="separate"/>
        </w:r>
        <w:r w:rsidR="00986D0E">
          <w:rPr>
            <w:noProof/>
          </w:rPr>
          <w:t>8</w:t>
        </w:r>
        <w:r>
          <w:rPr>
            <w:noProof/>
          </w:rPr>
          <w:fldChar w:fldCharType="end"/>
        </w:r>
      </w:sdtContent>
    </w:sdt>
  </w:p>
  <w:p w:rsidR="009938A1" w:rsidRDefault="009938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152" w:rsidRDefault="00C13152" w:rsidP="00AE0A10">
      <w:r>
        <w:separator/>
      </w:r>
    </w:p>
  </w:footnote>
  <w:footnote w:type="continuationSeparator" w:id="1">
    <w:p w:rsidR="00C13152" w:rsidRDefault="00C13152" w:rsidP="00AE0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A1" w:rsidRPr="00AE0A10" w:rsidRDefault="009938A1">
    <w:pPr>
      <w:pStyle w:val="Encabezado"/>
      <w:rPr>
        <w:rFonts w:ascii="Arial" w:hAnsi="Arial" w:cs="Arial"/>
        <w:b/>
        <w:sz w:val="18"/>
        <w:szCs w:val="18"/>
      </w:rPr>
    </w:pPr>
    <w:r>
      <w:tab/>
    </w:r>
    <w:r>
      <w:tab/>
    </w:r>
    <w:r>
      <w:tab/>
    </w:r>
    <w:r>
      <w:rPr>
        <w:rFonts w:ascii="Arial" w:hAnsi="Arial" w:cs="Arial"/>
        <w:b/>
        <w:sz w:val="18"/>
        <w:szCs w:val="18"/>
      </w:rPr>
      <w:t>ET</w:t>
    </w:r>
    <w:r w:rsidRPr="00AE0A10">
      <w:rPr>
        <w:rFonts w:ascii="Arial" w:hAnsi="Arial" w:cs="Arial"/>
        <w:b/>
        <w:sz w:val="18"/>
        <w:szCs w:val="18"/>
      </w:rPr>
      <w:t>CA-I-</w:t>
    </w:r>
    <w:r>
      <w:rPr>
        <w:rFonts w:ascii="Arial" w:hAnsi="Arial" w:cs="Arial"/>
        <w:b/>
        <w:sz w:val="18"/>
        <w:szCs w:val="18"/>
      </w:rPr>
      <w:t>09</w:t>
    </w:r>
  </w:p>
  <w:p w:rsidR="009938A1" w:rsidRPr="00AE0A10" w:rsidRDefault="009938A1" w:rsidP="00AE0A10">
    <w:pPr>
      <w:pStyle w:val="Encabezado"/>
      <w:jc w:val="center"/>
      <w:rPr>
        <w:rFonts w:ascii="Arial" w:hAnsi="Arial" w:cs="Arial"/>
        <w:b/>
        <w:sz w:val="18"/>
        <w:szCs w:val="18"/>
      </w:rPr>
    </w:pPr>
    <w:r w:rsidRPr="00AE0A10">
      <w:rPr>
        <w:rFonts w:ascii="Arial" w:hAnsi="Arial" w:cs="Arial"/>
        <w:b/>
        <w:sz w:val="18"/>
        <w:szCs w:val="18"/>
      </w:rPr>
      <w:t>Sistema Estatal de Evaluación</w:t>
    </w:r>
  </w:p>
  <w:p w:rsidR="009938A1" w:rsidRPr="00AE0A10" w:rsidRDefault="009938A1" w:rsidP="00AE0A10">
    <w:pPr>
      <w:pStyle w:val="Encabezado"/>
      <w:jc w:val="center"/>
      <w:rPr>
        <w:rFonts w:ascii="Arial" w:hAnsi="Arial" w:cs="Arial"/>
        <w:b/>
        <w:sz w:val="18"/>
        <w:szCs w:val="18"/>
      </w:rPr>
    </w:pPr>
    <w:r>
      <w:rPr>
        <w:rFonts w:ascii="Arial" w:hAnsi="Arial" w:cs="Arial"/>
        <w:b/>
        <w:sz w:val="18"/>
        <w:szCs w:val="18"/>
      </w:rPr>
      <w:t>Notas a los Estados Financieros</w:t>
    </w:r>
  </w:p>
  <w:p w:rsidR="009938A1" w:rsidRPr="00AE0A10" w:rsidRDefault="009938A1" w:rsidP="00AE0A10">
    <w:pPr>
      <w:pStyle w:val="Encabezado"/>
      <w:jc w:val="center"/>
      <w:rPr>
        <w:rFonts w:ascii="Arial" w:hAnsi="Arial" w:cs="Arial"/>
        <w:b/>
        <w:sz w:val="18"/>
        <w:szCs w:val="18"/>
      </w:rPr>
    </w:pPr>
    <w:r>
      <w:rPr>
        <w:rFonts w:ascii="Arial" w:hAnsi="Arial" w:cs="Arial"/>
        <w:b/>
        <w:sz w:val="18"/>
        <w:szCs w:val="18"/>
      </w:rPr>
      <w:t>Telefonía Rural de Sonora</w:t>
    </w:r>
  </w:p>
  <w:p w:rsidR="009938A1" w:rsidRPr="00AE0A10" w:rsidRDefault="009938A1" w:rsidP="00AE0A10">
    <w:pPr>
      <w:pStyle w:val="Encabezado"/>
      <w:jc w:val="right"/>
      <w:rPr>
        <w:rFonts w:ascii="Arial" w:hAnsi="Arial" w:cs="Arial"/>
        <w:b/>
        <w:sz w:val="18"/>
        <w:szCs w:val="18"/>
      </w:rPr>
    </w:pPr>
    <w:r>
      <w:rPr>
        <w:rFonts w:ascii="Arial" w:hAnsi="Arial" w:cs="Arial"/>
        <w:b/>
        <w:sz w:val="18"/>
        <w:szCs w:val="18"/>
      </w:rPr>
      <w:t>TRIMESTRE: SEGUNDO DE 2016</w:t>
    </w:r>
  </w:p>
  <w:p w:rsidR="009938A1" w:rsidRPr="00AE0A10" w:rsidRDefault="009938A1" w:rsidP="00635020">
    <w:pPr>
      <w:pStyle w:val="Encabezado"/>
      <w:jc w:val="center"/>
      <w:rPr>
        <w:rFonts w:ascii="Arial" w:hAnsi="Arial" w:cs="Arial"/>
        <w:b/>
        <w:sz w:val="16"/>
        <w:szCs w:val="16"/>
      </w:rPr>
    </w:pPr>
    <w:r>
      <w:rPr>
        <w:rFonts w:ascii="Arial" w:hAnsi="Arial" w:cs="Arial"/>
        <w:b/>
        <w:sz w:val="16"/>
        <w:szCs w:val="16"/>
      </w:rPr>
      <w:t>Al  30 DE JUNIO DE 2016</w:t>
    </w:r>
  </w:p>
  <w:p w:rsidR="009938A1" w:rsidRPr="00AE0A10" w:rsidRDefault="004F58B6" w:rsidP="00AE0A10">
    <w:pPr>
      <w:pStyle w:val="Encabezado"/>
      <w:jc w:val="center"/>
      <w:rPr>
        <w:rFonts w:ascii="Arial" w:hAnsi="Arial" w:cs="Arial"/>
        <w:sz w:val="16"/>
        <w:szCs w:val="16"/>
      </w:rPr>
    </w:pPr>
    <w:r>
      <w:rPr>
        <w:rFonts w:ascii="Arial" w:hAnsi="Arial" w:cs="Arial"/>
        <w:noProof/>
        <w:sz w:val="16"/>
        <w:szCs w:val="16"/>
        <w:lang w:val="es-MX" w:eastAsia="es-MX"/>
      </w:rPr>
      <w:pict>
        <v:shapetype id="_x0000_t32" coordsize="21600,21600" o:spt="32" o:oned="t" path="m,l21600,21600e" filled="f">
          <v:path arrowok="t" fillok="f" o:connecttype="none"/>
          <o:lock v:ext="edit" shapetype="t"/>
        </v:shapetype>
        <v:shape id="AutoShape 1" o:spid="_x0000_s4097" type="#_x0000_t32" style="position:absolute;left:0;text-align:left;margin-left:-11.15pt;margin-top:10.05pt;width:545.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Pc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"/>
      </w:pict>
    </w:r>
    <w:r w:rsidR="009938A1" w:rsidRPr="00AE0A10">
      <w:rPr>
        <w:rFonts w:ascii="Arial" w:hAnsi="Arial" w:cs="Arial"/>
        <w:sz w:val="16"/>
        <w:szCs w:val="16"/>
      </w:rPr>
      <w:t>(PESOS)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8C0"/>
    <w:multiLevelType w:val="hybridMultilevel"/>
    <w:tmpl w:val="023AB092"/>
    <w:lvl w:ilvl="0" w:tplc="776A94D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F8064C"/>
    <w:multiLevelType w:val="hybridMultilevel"/>
    <w:tmpl w:val="EA626732"/>
    <w:lvl w:ilvl="0" w:tplc="5FF00CC2">
      <w:start w:val="3"/>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8EE05BB"/>
    <w:multiLevelType w:val="hybridMultilevel"/>
    <w:tmpl w:val="9AE601A0"/>
    <w:lvl w:ilvl="0" w:tplc="C200F88C">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9FF0E7C"/>
    <w:multiLevelType w:val="hybridMultilevel"/>
    <w:tmpl w:val="A35435A6"/>
    <w:lvl w:ilvl="0" w:tplc="0C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C4C46D2"/>
    <w:multiLevelType w:val="hybridMultilevel"/>
    <w:tmpl w:val="CAA83180"/>
    <w:lvl w:ilvl="0" w:tplc="C792A7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393487"/>
    <w:multiLevelType w:val="hybridMultilevel"/>
    <w:tmpl w:val="9B8025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3F51F1"/>
    <w:multiLevelType w:val="hybridMultilevel"/>
    <w:tmpl w:val="F25E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234AA0"/>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EB62F0"/>
    <w:multiLevelType w:val="hybridMultilevel"/>
    <w:tmpl w:val="91FE5C0A"/>
    <w:lvl w:ilvl="0" w:tplc="94CCDE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FA13D2"/>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F767E0"/>
    <w:multiLevelType w:val="hybridMultilevel"/>
    <w:tmpl w:val="E3D4F6A4"/>
    <w:lvl w:ilvl="0" w:tplc="C70802E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43C405DB"/>
    <w:multiLevelType w:val="hybridMultilevel"/>
    <w:tmpl w:val="48C63ED4"/>
    <w:lvl w:ilvl="0" w:tplc="3182A0B8">
      <w:start w:val="4"/>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3FA0F47"/>
    <w:multiLevelType w:val="hybridMultilevel"/>
    <w:tmpl w:val="7D92ED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4A7A6EC8"/>
    <w:multiLevelType w:val="hybridMultilevel"/>
    <w:tmpl w:val="7F30C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346C97"/>
    <w:multiLevelType w:val="hybridMultilevel"/>
    <w:tmpl w:val="A4ACEE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C35A3E"/>
    <w:multiLevelType w:val="hybridMultilevel"/>
    <w:tmpl w:val="6BF8A88E"/>
    <w:lvl w:ilvl="0" w:tplc="AEA0A826">
      <w:start w:val="1"/>
      <w:numFmt w:val="lowerLetter"/>
      <w:lvlText w:val="%1)"/>
      <w:lvlJc w:val="left"/>
      <w:pPr>
        <w:ind w:left="1218" w:hanging="570"/>
      </w:pPr>
      <w:rPr>
        <w:rFonts w:hint="default"/>
      </w:rPr>
    </w:lvl>
    <w:lvl w:ilvl="1" w:tplc="080A0019">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6">
    <w:nsid w:val="521A0816"/>
    <w:multiLevelType w:val="hybridMultilevel"/>
    <w:tmpl w:val="DECCDDC2"/>
    <w:lvl w:ilvl="0" w:tplc="E50468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D61091"/>
    <w:multiLevelType w:val="hybridMultilevel"/>
    <w:tmpl w:val="753271F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AF32879"/>
    <w:multiLevelType w:val="hybridMultilevel"/>
    <w:tmpl w:val="152CACA6"/>
    <w:lvl w:ilvl="0" w:tplc="AA642EE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DF80DC4"/>
    <w:multiLevelType w:val="hybridMultilevel"/>
    <w:tmpl w:val="A1A49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18E1EA0"/>
    <w:multiLevelType w:val="hybridMultilevel"/>
    <w:tmpl w:val="C076E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2638B0"/>
    <w:multiLevelType w:val="hybridMultilevel"/>
    <w:tmpl w:val="FC5013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76B1331D"/>
    <w:multiLevelType w:val="hybridMultilevel"/>
    <w:tmpl w:val="C262E59E"/>
    <w:lvl w:ilvl="0" w:tplc="3550913A">
      <w:start w:val="1"/>
      <w:numFmt w:val="lowerLetter"/>
      <w:lvlText w:val="%1)"/>
      <w:lvlJc w:val="left"/>
      <w:pPr>
        <w:ind w:left="1008"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3">
    <w:nsid w:val="78831D81"/>
    <w:multiLevelType w:val="hybridMultilevel"/>
    <w:tmpl w:val="E6501920"/>
    <w:lvl w:ilvl="0" w:tplc="D1D46D5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22"/>
  </w:num>
  <w:num w:numId="5">
    <w:abstractNumId w:val="15"/>
  </w:num>
  <w:num w:numId="6">
    <w:abstractNumId w:val="6"/>
  </w:num>
  <w:num w:numId="7">
    <w:abstractNumId w:val="20"/>
  </w:num>
  <w:num w:numId="8">
    <w:abstractNumId w:val="5"/>
  </w:num>
  <w:num w:numId="9">
    <w:abstractNumId w:val="14"/>
  </w:num>
  <w:num w:numId="10">
    <w:abstractNumId w:val="19"/>
  </w:num>
  <w:num w:numId="11">
    <w:abstractNumId w:val="23"/>
  </w:num>
  <w:num w:numId="12">
    <w:abstractNumId w:val="16"/>
  </w:num>
  <w:num w:numId="13">
    <w:abstractNumId w:val="3"/>
  </w:num>
  <w:num w:numId="14">
    <w:abstractNumId w:val="11"/>
  </w:num>
  <w:num w:numId="15">
    <w:abstractNumId w:val="21"/>
  </w:num>
  <w:num w:numId="16">
    <w:abstractNumId w:val="12"/>
  </w:num>
  <w:num w:numId="17">
    <w:abstractNumId w:val="0"/>
  </w:num>
  <w:num w:numId="18">
    <w:abstractNumId w:val="17"/>
  </w:num>
  <w:num w:numId="19">
    <w:abstractNumId w:val="9"/>
  </w:num>
  <w:num w:numId="20">
    <w:abstractNumId w:val="7"/>
  </w:num>
  <w:num w:numId="21">
    <w:abstractNumId w:val="13"/>
  </w:num>
  <w:num w:numId="22">
    <w:abstractNumId w:val="8"/>
  </w:num>
  <w:num w:numId="23">
    <w:abstractNumId w:val="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4"/>
      <o:rules v:ext="edit">
        <o:r id="V:Rule2" type="connector" idref="#AutoShape 1"/>
      </o:rules>
    </o:shapelayout>
  </w:hdrShapeDefaults>
  <w:footnotePr>
    <w:footnote w:id="0"/>
    <w:footnote w:id="1"/>
  </w:footnotePr>
  <w:endnotePr>
    <w:endnote w:id="0"/>
    <w:endnote w:id="1"/>
  </w:endnotePr>
  <w:compat/>
  <w:rsids>
    <w:rsidRoot w:val="004F3A86"/>
    <w:rsid w:val="00027034"/>
    <w:rsid w:val="00032A32"/>
    <w:rsid w:val="0003507C"/>
    <w:rsid w:val="000C1BF7"/>
    <w:rsid w:val="000D5CEA"/>
    <w:rsid w:val="000E2A4C"/>
    <w:rsid w:val="000F34AA"/>
    <w:rsid w:val="001053CE"/>
    <w:rsid w:val="0011573D"/>
    <w:rsid w:val="001208E4"/>
    <w:rsid w:val="00160245"/>
    <w:rsid w:val="0018499F"/>
    <w:rsid w:val="00184A7C"/>
    <w:rsid w:val="001B64C8"/>
    <w:rsid w:val="001C6E8A"/>
    <w:rsid w:val="001F1972"/>
    <w:rsid w:val="0020374F"/>
    <w:rsid w:val="00214C34"/>
    <w:rsid w:val="0022253A"/>
    <w:rsid w:val="00224BDE"/>
    <w:rsid w:val="002423D2"/>
    <w:rsid w:val="0024362D"/>
    <w:rsid w:val="002B1F93"/>
    <w:rsid w:val="002B4688"/>
    <w:rsid w:val="002B6CE6"/>
    <w:rsid w:val="002B7115"/>
    <w:rsid w:val="002C3BD9"/>
    <w:rsid w:val="002C7A02"/>
    <w:rsid w:val="00331C1E"/>
    <w:rsid w:val="00357ADC"/>
    <w:rsid w:val="00363BE2"/>
    <w:rsid w:val="0037449F"/>
    <w:rsid w:val="00381FDC"/>
    <w:rsid w:val="003871C7"/>
    <w:rsid w:val="00393E9C"/>
    <w:rsid w:val="003965BF"/>
    <w:rsid w:val="00397407"/>
    <w:rsid w:val="003A29AD"/>
    <w:rsid w:val="003B08EA"/>
    <w:rsid w:val="003D0390"/>
    <w:rsid w:val="003E185A"/>
    <w:rsid w:val="003F0FCD"/>
    <w:rsid w:val="004314AC"/>
    <w:rsid w:val="004622BB"/>
    <w:rsid w:val="004624C6"/>
    <w:rsid w:val="00462B35"/>
    <w:rsid w:val="00481DBB"/>
    <w:rsid w:val="004914E9"/>
    <w:rsid w:val="004B4EED"/>
    <w:rsid w:val="004C677E"/>
    <w:rsid w:val="004F3A86"/>
    <w:rsid w:val="004F58B6"/>
    <w:rsid w:val="0052305F"/>
    <w:rsid w:val="00543C50"/>
    <w:rsid w:val="00563952"/>
    <w:rsid w:val="005834B2"/>
    <w:rsid w:val="005D1DE1"/>
    <w:rsid w:val="005F1017"/>
    <w:rsid w:val="00601755"/>
    <w:rsid w:val="00616D32"/>
    <w:rsid w:val="00635020"/>
    <w:rsid w:val="0064412A"/>
    <w:rsid w:val="006A6664"/>
    <w:rsid w:val="006E0FE4"/>
    <w:rsid w:val="006E27F6"/>
    <w:rsid w:val="006E78BD"/>
    <w:rsid w:val="00737AB0"/>
    <w:rsid w:val="00744DEC"/>
    <w:rsid w:val="007620AF"/>
    <w:rsid w:val="007765C0"/>
    <w:rsid w:val="007E5903"/>
    <w:rsid w:val="007F2C5D"/>
    <w:rsid w:val="00811F4B"/>
    <w:rsid w:val="00825B48"/>
    <w:rsid w:val="00825CD0"/>
    <w:rsid w:val="00832384"/>
    <w:rsid w:val="00892C9D"/>
    <w:rsid w:val="008B2A90"/>
    <w:rsid w:val="008C1663"/>
    <w:rsid w:val="008C7967"/>
    <w:rsid w:val="008E4566"/>
    <w:rsid w:val="00974F44"/>
    <w:rsid w:val="00986D0E"/>
    <w:rsid w:val="009938A1"/>
    <w:rsid w:val="009E5179"/>
    <w:rsid w:val="00A20F02"/>
    <w:rsid w:val="00A43B2E"/>
    <w:rsid w:val="00A51D3C"/>
    <w:rsid w:val="00A732D4"/>
    <w:rsid w:val="00A74697"/>
    <w:rsid w:val="00A76DED"/>
    <w:rsid w:val="00AB0DAE"/>
    <w:rsid w:val="00AC3A21"/>
    <w:rsid w:val="00AE0A10"/>
    <w:rsid w:val="00AE5873"/>
    <w:rsid w:val="00B20E07"/>
    <w:rsid w:val="00B33FB2"/>
    <w:rsid w:val="00B463FB"/>
    <w:rsid w:val="00B5062D"/>
    <w:rsid w:val="00B554EC"/>
    <w:rsid w:val="00BE274D"/>
    <w:rsid w:val="00C017CD"/>
    <w:rsid w:val="00C13152"/>
    <w:rsid w:val="00C236B7"/>
    <w:rsid w:val="00C5691B"/>
    <w:rsid w:val="00C62E93"/>
    <w:rsid w:val="00C641A9"/>
    <w:rsid w:val="00C6425F"/>
    <w:rsid w:val="00CD2F2D"/>
    <w:rsid w:val="00CD50D9"/>
    <w:rsid w:val="00CE4BC7"/>
    <w:rsid w:val="00D20120"/>
    <w:rsid w:val="00D81085"/>
    <w:rsid w:val="00D84FFB"/>
    <w:rsid w:val="00D924FC"/>
    <w:rsid w:val="00DA66DF"/>
    <w:rsid w:val="00DB0DB8"/>
    <w:rsid w:val="00DB7041"/>
    <w:rsid w:val="00DC45A6"/>
    <w:rsid w:val="00DE4154"/>
    <w:rsid w:val="00DF2C5E"/>
    <w:rsid w:val="00DF4E09"/>
    <w:rsid w:val="00DF7493"/>
    <w:rsid w:val="00E168C2"/>
    <w:rsid w:val="00E655D5"/>
    <w:rsid w:val="00E92BE9"/>
    <w:rsid w:val="00EC0E24"/>
    <w:rsid w:val="00EF3609"/>
    <w:rsid w:val="00EF566E"/>
    <w:rsid w:val="00F24273"/>
    <w:rsid w:val="00F410D6"/>
    <w:rsid w:val="00F76376"/>
    <w:rsid w:val="00FB6DA5"/>
    <w:rsid w:val="00FE42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A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10"/>
    <w:pPr>
      <w:tabs>
        <w:tab w:val="center" w:pos="4252"/>
        <w:tab w:val="right" w:pos="8504"/>
      </w:tabs>
    </w:pPr>
  </w:style>
  <w:style w:type="character" w:customStyle="1" w:styleId="EncabezadoCar">
    <w:name w:val="Encabezado Car"/>
    <w:basedOn w:val="Fuentedeprrafopredeter"/>
    <w:link w:val="Encabezado"/>
    <w:uiPriority w:val="99"/>
    <w:rsid w:val="00AE0A10"/>
  </w:style>
  <w:style w:type="paragraph" w:styleId="Piedepgina">
    <w:name w:val="footer"/>
    <w:basedOn w:val="Normal"/>
    <w:link w:val="PiedepginaCar"/>
    <w:uiPriority w:val="99"/>
    <w:unhideWhenUsed/>
    <w:rsid w:val="00AE0A10"/>
    <w:pPr>
      <w:tabs>
        <w:tab w:val="center" w:pos="4252"/>
        <w:tab w:val="right" w:pos="8504"/>
      </w:tabs>
    </w:pPr>
  </w:style>
  <w:style w:type="character" w:customStyle="1" w:styleId="PiedepginaCar">
    <w:name w:val="Pie de página Car"/>
    <w:basedOn w:val="Fuentedeprrafopredeter"/>
    <w:link w:val="Piedepgina"/>
    <w:uiPriority w:val="99"/>
    <w:rsid w:val="00AE0A10"/>
  </w:style>
  <w:style w:type="paragraph" w:styleId="Textodeglobo">
    <w:name w:val="Balloon Text"/>
    <w:basedOn w:val="Normal"/>
    <w:link w:val="TextodegloboCar"/>
    <w:uiPriority w:val="99"/>
    <w:semiHidden/>
    <w:unhideWhenUsed/>
    <w:rsid w:val="00AE0A10"/>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A10"/>
    <w:rPr>
      <w:rFonts w:ascii="Tahoma" w:hAnsi="Tahoma" w:cs="Tahoma"/>
      <w:sz w:val="16"/>
      <w:szCs w:val="16"/>
    </w:rPr>
  </w:style>
  <w:style w:type="paragraph" w:styleId="Sinespaciado">
    <w:name w:val="No Spacing"/>
    <w:uiPriority w:val="1"/>
    <w:qFormat/>
    <w:rsid w:val="001053CE"/>
    <w:pPr>
      <w:spacing w:after="0" w:line="240" w:lineRule="auto"/>
    </w:pPr>
  </w:style>
  <w:style w:type="paragraph" w:customStyle="1" w:styleId="Texto">
    <w:name w:val="Texto"/>
    <w:basedOn w:val="Normal"/>
    <w:link w:val="TextoCar"/>
    <w:qFormat/>
    <w:rsid w:val="003A29AD"/>
    <w:pPr>
      <w:spacing w:after="101" w:line="216" w:lineRule="exact"/>
      <w:ind w:firstLine="288"/>
      <w:jc w:val="both"/>
    </w:pPr>
    <w:rPr>
      <w:rFonts w:ascii="Arial" w:hAnsi="Arial" w:cs="Arial"/>
      <w:sz w:val="18"/>
      <w:szCs w:val="20"/>
    </w:rPr>
  </w:style>
  <w:style w:type="paragraph" w:customStyle="1" w:styleId="ROMANOS">
    <w:name w:val="ROMANOS"/>
    <w:basedOn w:val="Normal"/>
    <w:rsid w:val="003A29A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A29AD"/>
    <w:pPr>
      <w:spacing w:after="101" w:line="216" w:lineRule="exact"/>
      <w:ind w:left="1080" w:hanging="360"/>
      <w:jc w:val="both"/>
    </w:pPr>
    <w:rPr>
      <w:rFonts w:ascii="Arial" w:hAnsi="Arial" w:cs="Arial"/>
      <w:sz w:val="18"/>
      <w:szCs w:val="18"/>
    </w:rPr>
  </w:style>
  <w:style w:type="table" w:styleId="Tablaconcuadrcula">
    <w:name w:val="Table Grid"/>
    <w:basedOn w:val="Tablanormal"/>
    <w:uiPriority w:val="59"/>
    <w:rsid w:val="003A29A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4C34"/>
    <w:pPr>
      <w:autoSpaceDE w:val="0"/>
      <w:autoSpaceDN w:val="0"/>
      <w:adjustRightInd w:val="0"/>
      <w:spacing w:after="0" w:line="240" w:lineRule="auto"/>
    </w:pPr>
    <w:rPr>
      <w:rFonts w:ascii="Arial" w:hAnsi="Arial" w:cs="Arial"/>
      <w:color w:val="000000"/>
      <w:sz w:val="24"/>
      <w:szCs w:val="24"/>
      <w:lang w:val="es-MX"/>
    </w:rPr>
  </w:style>
  <w:style w:type="character" w:customStyle="1" w:styleId="TextoCar">
    <w:name w:val="Texto Car"/>
    <w:link w:val="Texto"/>
    <w:locked/>
    <w:rsid w:val="00214C34"/>
    <w:rPr>
      <w:rFonts w:ascii="Arial" w:eastAsia="Times New Roman" w:hAnsi="Arial" w:cs="Arial"/>
      <w:sz w:val="18"/>
      <w:szCs w:val="20"/>
      <w:lang w:eastAsia="es-ES"/>
    </w:rPr>
  </w:style>
  <w:style w:type="paragraph" w:styleId="Prrafodelista">
    <w:name w:val="List Paragraph"/>
    <w:basedOn w:val="Normal"/>
    <w:uiPriority w:val="34"/>
    <w:qFormat/>
    <w:rsid w:val="00214C34"/>
    <w:pPr>
      <w:spacing w:after="200" w:line="276" w:lineRule="auto"/>
      <w:ind w:left="720"/>
      <w:contextualSpacing/>
    </w:pPr>
    <w:rPr>
      <w:rFonts w:ascii="Calibri" w:eastAsia="Calibri" w:hAnsi="Calibri"/>
      <w:sz w:val="22"/>
      <w:szCs w:val="22"/>
      <w:lang w:val="es-MX" w:eastAsia="en-US"/>
    </w:rPr>
  </w:style>
  <w:style w:type="character" w:styleId="Refdecomentario">
    <w:name w:val="annotation reference"/>
    <w:basedOn w:val="Fuentedeprrafopredeter"/>
    <w:semiHidden/>
    <w:rsid w:val="00214C34"/>
    <w:rPr>
      <w:sz w:val="16"/>
      <w:szCs w:val="16"/>
    </w:rPr>
  </w:style>
  <w:style w:type="paragraph" w:styleId="Textocomentario">
    <w:name w:val="annotation text"/>
    <w:basedOn w:val="Normal"/>
    <w:link w:val="TextocomentarioCar"/>
    <w:semiHidden/>
    <w:rsid w:val="00214C34"/>
    <w:rPr>
      <w:sz w:val="20"/>
      <w:szCs w:val="20"/>
    </w:rPr>
  </w:style>
  <w:style w:type="character" w:customStyle="1" w:styleId="TextocomentarioCar">
    <w:name w:val="Texto comentario Car"/>
    <w:basedOn w:val="Fuentedeprrafopredeter"/>
    <w:link w:val="Textocomentario"/>
    <w:semiHidden/>
    <w:rsid w:val="00214C34"/>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214C34"/>
    <w:rPr>
      <w:i/>
      <w:iCs/>
    </w:rPr>
  </w:style>
</w:styles>
</file>

<file path=word/webSettings.xml><?xml version="1.0" encoding="utf-8"?>
<w:webSettings xmlns:r="http://schemas.openxmlformats.org/officeDocument/2006/relationships" xmlns:w="http://schemas.openxmlformats.org/wordprocessingml/2006/main">
  <w:divs>
    <w:div w:id="1110321741">
      <w:bodyDiv w:val="1"/>
      <w:marLeft w:val="0"/>
      <w:marRight w:val="0"/>
      <w:marTop w:val="0"/>
      <w:marBottom w:val="0"/>
      <w:divBdr>
        <w:top w:val="none" w:sz="0" w:space="0" w:color="auto"/>
        <w:left w:val="none" w:sz="0" w:space="0" w:color="auto"/>
        <w:bottom w:val="none" w:sz="0" w:space="0" w:color="auto"/>
        <w:right w:val="none" w:sz="0" w:space="0" w:color="auto"/>
      </w:divBdr>
    </w:div>
    <w:div w:id="15987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3013</Words>
  <Characters>16574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SERVERadmin</dc:creator>
  <cp:lastModifiedBy>Refugio Carmelo A</cp:lastModifiedBy>
  <cp:revision>3</cp:revision>
  <cp:lastPrinted>2016-07-13T19:19:00Z</cp:lastPrinted>
  <dcterms:created xsi:type="dcterms:W3CDTF">2016-07-13T19:30:00Z</dcterms:created>
  <dcterms:modified xsi:type="dcterms:W3CDTF">2016-07-13T19:34:00Z</dcterms:modified>
</cp:coreProperties>
</file>