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6" w:rsidRDefault="008E4566" w:rsidP="00DF4E09">
      <w:pPr>
        <w:rPr>
          <w:rFonts w:ascii="Arial" w:hAnsi="Arial" w:cs="Arial"/>
          <w:b/>
          <w:i/>
          <w:sz w:val="20"/>
          <w:szCs w:val="20"/>
        </w:rPr>
      </w:pPr>
    </w:p>
    <w:p w:rsidR="00DF4E09" w:rsidRDefault="00DF4E09" w:rsidP="00DF4E09">
      <w:pPr>
        <w:pStyle w:val="Prrafodelista"/>
        <w:numPr>
          <w:ilvl w:val="0"/>
          <w:numId w:val="23"/>
        </w:numPr>
        <w:spacing w:after="0"/>
        <w:rPr>
          <w:rFonts w:ascii="Arial" w:hAnsi="Arial" w:cs="Arial"/>
          <w:b/>
          <w:i/>
          <w:sz w:val="20"/>
          <w:szCs w:val="20"/>
          <w:lang w:val="es-ES"/>
        </w:rPr>
      </w:pPr>
      <w:r w:rsidRPr="00DF4E09">
        <w:rPr>
          <w:rFonts w:ascii="Arial" w:hAnsi="Arial" w:cs="Arial"/>
          <w:b/>
          <w:i/>
          <w:sz w:val="20"/>
          <w:szCs w:val="20"/>
          <w:lang w:val="es-ES"/>
        </w:rPr>
        <w:t>NOTAS DE DESGLOSE</w:t>
      </w:r>
    </w:p>
    <w:p w:rsidR="00811F4B" w:rsidRPr="00DF4E09" w:rsidRDefault="00811F4B" w:rsidP="00811F4B">
      <w:pPr>
        <w:pStyle w:val="Prrafodelista"/>
        <w:spacing w:after="0"/>
        <w:rPr>
          <w:rFonts w:ascii="Arial" w:hAnsi="Arial" w:cs="Arial"/>
          <w:b/>
          <w:i/>
          <w:sz w:val="20"/>
          <w:szCs w:val="20"/>
          <w:lang w:val="es-ES"/>
        </w:rPr>
      </w:pPr>
    </w:p>
    <w:p w:rsid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Situación Financiera</w:t>
      </w:r>
    </w:p>
    <w:p w:rsidR="00811F4B" w:rsidRPr="00DF4E09" w:rsidRDefault="00811F4B" w:rsidP="00811F4B">
      <w:pPr>
        <w:pStyle w:val="Prrafodelista"/>
        <w:spacing w:after="0"/>
        <w:ind w:left="1080"/>
        <w:rPr>
          <w:rFonts w:ascii="Arial" w:hAnsi="Arial" w:cs="Arial"/>
          <w:b/>
          <w:sz w:val="20"/>
          <w:szCs w:val="20"/>
          <w:u w:val="single"/>
          <w:lang w:val="es-ES"/>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Activo</w:t>
      </w:r>
    </w:p>
    <w:p w:rsidR="00DF4E09" w:rsidRPr="00DF4E09" w:rsidRDefault="00C017CD" w:rsidP="00DF4E09">
      <w:pPr>
        <w:ind w:firstLine="708"/>
        <w:rPr>
          <w:rFonts w:ascii="Arial" w:hAnsi="Arial" w:cs="Arial"/>
          <w:b/>
          <w:sz w:val="20"/>
          <w:szCs w:val="20"/>
        </w:rPr>
      </w:pPr>
      <w:r>
        <w:rPr>
          <w:rFonts w:ascii="Arial" w:hAnsi="Arial" w:cs="Arial"/>
          <w:b/>
          <w:sz w:val="20"/>
          <w:szCs w:val="20"/>
        </w:rPr>
        <w:t xml:space="preserve">Nota 1.- </w:t>
      </w:r>
      <w:r w:rsidR="00DF4E09" w:rsidRPr="00DF4E09">
        <w:rPr>
          <w:rFonts w:ascii="Arial" w:hAnsi="Arial" w:cs="Arial"/>
          <w:b/>
          <w:sz w:val="20"/>
          <w:szCs w:val="20"/>
        </w:rPr>
        <w:t>Efectivo y Equivalentes</w:t>
      </w:r>
    </w:p>
    <w:tbl>
      <w:tblPr>
        <w:tblStyle w:val="Tablaconcuadrcula"/>
        <w:tblW w:w="0" w:type="auto"/>
        <w:jc w:val="center"/>
        <w:tblLook w:val="04A0"/>
      </w:tblPr>
      <w:tblGrid>
        <w:gridCol w:w="1795"/>
        <w:gridCol w:w="1795"/>
        <w:gridCol w:w="1796"/>
        <w:gridCol w:w="2377"/>
      </w:tblGrid>
      <w:tr w:rsidR="00DF4E09" w:rsidRPr="00DF4E09" w:rsidTr="00DF4E09">
        <w:trPr>
          <w:trHeight w:val="511"/>
          <w:jc w:val="center"/>
        </w:trPr>
        <w:tc>
          <w:tcPr>
            <w:tcW w:w="1795"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CONCEPTO</w:t>
            </w:r>
          </w:p>
        </w:tc>
        <w:tc>
          <w:tcPr>
            <w:tcW w:w="1795"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EFECTIVO</w:t>
            </w:r>
          </w:p>
        </w:tc>
        <w:tc>
          <w:tcPr>
            <w:tcW w:w="1796"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BANCOS</w:t>
            </w:r>
          </w:p>
        </w:tc>
        <w:tc>
          <w:tcPr>
            <w:tcW w:w="2377"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TOTAL DE EFECTIVO  Y EQUIVALENTES</w:t>
            </w:r>
          </w:p>
        </w:tc>
      </w:tr>
      <w:tr w:rsidR="00DF4E09" w:rsidRPr="00DF4E09" w:rsidTr="00DF4E09">
        <w:trPr>
          <w:jc w:val="center"/>
        </w:trPr>
        <w:tc>
          <w:tcPr>
            <w:tcW w:w="1795"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Fondo fijo</w:t>
            </w:r>
          </w:p>
        </w:tc>
        <w:tc>
          <w:tcPr>
            <w:tcW w:w="1795"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3,000.00</w:t>
            </w:r>
          </w:p>
        </w:tc>
        <w:tc>
          <w:tcPr>
            <w:tcW w:w="1796"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0</w:t>
            </w:r>
            <w:r w:rsidR="002C3BD9">
              <w:rPr>
                <w:rFonts w:ascii="Arial" w:hAnsi="Arial" w:cs="Arial"/>
                <w:sz w:val="20"/>
                <w:szCs w:val="20"/>
                <w:lang w:val="es-ES"/>
              </w:rPr>
              <w:t>.00</w:t>
            </w:r>
          </w:p>
        </w:tc>
        <w:tc>
          <w:tcPr>
            <w:tcW w:w="2377"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3,000.00</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HSBC</w:t>
            </w:r>
          </w:p>
        </w:tc>
        <w:tc>
          <w:tcPr>
            <w:tcW w:w="1795" w:type="dxa"/>
          </w:tcPr>
          <w:p w:rsidR="00DE4154" w:rsidRPr="00DF4E09" w:rsidRDefault="00DE4154" w:rsidP="003965BF">
            <w:pPr>
              <w:jc w:val="right"/>
              <w:rPr>
                <w:rFonts w:ascii="Arial" w:hAnsi="Arial" w:cs="Arial"/>
                <w:sz w:val="20"/>
                <w:szCs w:val="20"/>
                <w:lang w:val="es-ES"/>
              </w:rPr>
            </w:pPr>
            <w:r w:rsidRPr="00DF4E09">
              <w:rPr>
                <w:rFonts w:ascii="Arial" w:hAnsi="Arial" w:cs="Arial"/>
                <w:sz w:val="20"/>
                <w:szCs w:val="20"/>
                <w:lang w:val="es-ES"/>
              </w:rPr>
              <w:t>0</w:t>
            </w:r>
            <w:r w:rsidR="006E0FE4">
              <w:rPr>
                <w:rFonts w:ascii="Arial" w:hAnsi="Arial" w:cs="Arial"/>
                <w:sz w:val="20"/>
                <w:szCs w:val="20"/>
                <w:lang w:val="es-ES"/>
              </w:rPr>
              <w:t>.00</w:t>
            </w:r>
          </w:p>
        </w:tc>
        <w:tc>
          <w:tcPr>
            <w:tcW w:w="1796" w:type="dxa"/>
          </w:tcPr>
          <w:p w:rsidR="00DE4154" w:rsidRPr="00DF4E09" w:rsidRDefault="00FE1188" w:rsidP="003965BF">
            <w:pPr>
              <w:jc w:val="right"/>
              <w:rPr>
                <w:rFonts w:ascii="Arial" w:hAnsi="Arial" w:cs="Arial"/>
                <w:sz w:val="20"/>
                <w:szCs w:val="20"/>
                <w:lang w:val="es-ES"/>
              </w:rPr>
            </w:pPr>
            <w:r>
              <w:rPr>
                <w:rFonts w:ascii="Arial" w:hAnsi="Arial" w:cs="Arial"/>
                <w:sz w:val="20"/>
                <w:szCs w:val="20"/>
                <w:lang w:val="es-ES"/>
              </w:rPr>
              <w:t>508,293.84</w:t>
            </w:r>
          </w:p>
        </w:tc>
        <w:tc>
          <w:tcPr>
            <w:tcW w:w="2377" w:type="dxa"/>
          </w:tcPr>
          <w:p w:rsidR="00DE4154" w:rsidRPr="00DF4E09" w:rsidRDefault="00FE1188" w:rsidP="003965BF">
            <w:pPr>
              <w:jc w:val="right"/>
              <w:rPr>
                <w:rFonts w:ascii="Arial" w:hAnsi="Arial" w:cs="Arial"/>
                <w:sz w:val="20"/>
                <w:szCs w:val="20"/>
                <w:lang w:val="es-ES"/>
              </w:rPr>
            </w:pPr>
            <w:r>
              <w:rPr>
                <w:rFonts w:ascii="Arial" w:hAnsi="Arial" w:cs="Arial"/>
                <w:sz w:val="20"/>
                <w:szCs w:val="20"/>
                <w:lang w:val="es-ES"/>
              </w:rPr>
              <w:t>508,293.84</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BANCOMER</w:t>
            </w:r>
          </w:p>
        </w:tc>
        <w:tc>
          <w:tcPr>
            <w:tcW w:w="1795" w:type="dxa"/>
          </w:tcPr>
          <w:p w:rsidR="00DE4154" w:rsidRPr="00DF4E09" w:rsidRDefault="00DE4154" w:rsidP="003965BF">
            <w:pPr>
              <w:jc w:val="right"/>
              <w:rPr>
                <w:rFonts w:ascii="Arial" w:hAnsi="Arial" w:cs="Arial"/>
                <w:sz w:val="20"/>
                <w:szCs w:val="20"/>
                <w:lang w:val="es-ES"/>
              </w:rPr>
            </w:pPr>
            <w:r w:rsidRPr="00DF4E09">
              <w:rPr>
                <w:rFonts w:ascii="Arial" w:hAnsi="Arial" w:cs="Arial"/>
                <w:sz w:val="20"/>
                <w:szCs w:val="20"/>
                <w:lang w:val="es-ES"/>
              </w:rPr>
              <w:t>0</w:t>
            </w:r>
            <w:r w:rsidR="006E0FE4">
              <w:rPr>
                <w:rFonts w:ascii="Arial" w:hAnsi="Arial" w:cs="Arial"/>
                <w:sz w:val="20"/>
                <w:szCs w:val="20"/>
                <w:lang w:val="es-ES"/>
              </w:rPr>
              <w:t>.00</w:t>
            </w:r>
          </w:p>
        </w:tc>
        <w:tc>
          <w:tcPr>
            <w:tcW w:w="1796" w:type="dxa"/>
          </w:tcPr>
          <w:p w:rsidR="00DE4154" w:rsidRPr="00DF4E09" w:rsidRDefault="00FE1188" w:rsidP="003965BF">
            <w:pPr>
              <w:jc w:val="right"/>
              <w:rPr>
                <w:rFonts w:ascii="Arial" w:hAnsi="Arial" w:cs="Arial"/>
                <w:sz w:val="20"/>
                <w:szCs w:val="20"/>
                <w:lang w:val="es-ES"/>
              </w:rPr>
            </w:pPr>
            <w:r>
              <w:rPr>
                <w:rFonts w:ascii="Arial" w:hAnsi="Arial" w:cs="Arial"/>
                <w:sz w:val="20"/>
                <w:szCs w:val="20"/>
                <w:lang w:val="es-ES"/>
              </w:rPr>
              <w:t>111,800.44</w:t>
            </w:r>
          </w:p>
        </w:tc>
        <w:tc>
          <w:tcPr>
            <w:tcW w:w="2377" w:type="dxa"/>
          </w:tcPr>
          <w:p w:rsidR="00DE4154" w:rsidRPr="00DF4E09" w:rsidRDefault="00FE1188" w:rsidP="003965BF">
            <w:pPr>
              <w:jc w:val="right"/>
              <w:rPr>
                <w:rFonts w:ascii="Arial" w:hAnsi="Arial" w:cs="Arial"/>
                <w:sz w:val="20"/>
                <w:szCs w:val="20"/>
                <w:lang w:val="es-ES"/>
              </w:rPr>
            </w:pPr>
            <w:r>
              <w:rPr>
                <w:rFonts w:ascii="Arial" w:hAnsi="Arial" w:cs="Arial"/>
                <w:sz w:val="20"/>
                <w:szCs w:val="20"/>
                <w:lang w:val="es-ES"/>
              </w:rPr>
              <w:t>111,800.44</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TOTAL</w:t>
            </w:r>
          </w:p>
        </w:tc>
        <w:tc>
          <w:tcPr>
            <w:tcW w:w="1795" w:type="dxa"/>
          </w:tcPr>
          <w:p w:rsidR="00DE4154" w:rsidRPr="00DF4E09" w:rsidRDefault="0003507C" w:rsidP="003965BF">
            <w:pPr>
              <w:jc w:val="right"/>
              <w:rPr>
                <w:rFonts w:ascii="Arial" w:hAnsi="Arial" w:cs="Arial"/>
                <w:sz w:val="20"/>
                <w:szCs w:val="20"/>
                <w:lang w:val="es-ES"/>
              </w:rPr>
            </w:pPr>
            <w:r>
              <w:rPr>
                <w:rFonts w:ascii="Arial" w:hAnsi="Arial" w:cs="Arial"/>
                <w:sz w:val="20"/>
                <w:szCs w:val="20"/>
                <w:lang w:val="es-ES"/>
              </w:rPr>
              <w:t>3,00</w:t>
            </w:r>
            <w:r w:rsidR="00DE4154" w:rsidRPr="00DF4E09">
              <w:rPr>
                <w:rFonts w:ascii="Arial" w:hAnsi="Arial" w:cs="Arial"/>
                <w:sz w:val="20"/>
                <w:szCs w:val="20"/>
                <w:lang w:val="es-ES"/>
              </w:rPr>
              <w:t>0</w:t>
            </w:r>
            <w:r>
              <w:rPr>
                <w:rFonts w:ascii="Arial" w:hAnsi="Arial" w:cs="Arial"/>
                <w:sz w:val="20"/>
                <w:szCs w:val="20"/>
                <w:lang w:val="es-ES"/>
              </w:rPr>
              <w:t>.00</w:t>
            </w:r>
          </w:p>
        </w:tc>
        <w:tc>
          <w:tcPr>
            <w:tcW w:w="1796" w:type="dxa"/>
          </w:tcPr>
          <w:p w:rsidR="00DE4154" w:rsidRPr="00DF4E09" w:rsidRDefault="00FE1188" w:rsidP="003965BF">
            <w:pPr>
              <w:jc w:val="right"/>
              <w:rPr>
                <w:rFonts w:ascii="Arial" w:hAnsi="Arial" w:cs="Arial"/>
                <w:sz w:val="20"/>
                <w:szCs w:val="20"/>
                <w:lang w:val="es-ES"/>
              </w:rPr>
            </w:pPr>
            <w:r>
              <w:rPr>
                <w:rFonts w:ascii="Arial" w:hAnsi="Arial" w:cs="Arial"/>
                <w:sz w:val="20"/>
                <w:szCs w:val="20"/>
                <w:lang w:val="es-ES"/>
              </w:rPr>
              <w:t>620,094.28</w:t>
            </w:r>
          </w:p>
        </w:tc>
        <w:tc>
          <w:tcPr>
            <w:tcW w:w="2377" w:type="dxa"/>
          </w:tcPr>
          <w:p w:rsidR="00DE4154" w:rsidRPr="00DF4E09" w:rsidRDefault="00FE1188" w:rsidP="0003507C">
            <w:pPr>
              <w:jc w:val="right"/>
              <w:rPr>
                <w:rFonts w:ascii="Arial" w:hAnsi="Arial" w:cs="Arial"/>
                <w:sz w:val="20"/>
                <w:szCs w:val="20"/>
                <w:lang w:val="es-ES"/>
              </w:rPr>
            </w:pPr>
            <w:r>
              <w:rPr>
                <w:rFonts w:ascii="Arial" w:hAnsi="Arial" w:cs="Arial"/>
                <w:sz w:val="20"/>
                <w:szCs w:val="20"/>
                <w:lang w:val="es-ES"/>
              </w:rPr>
              <w:t>623,094.28</w:t>
            </w:r>
          </w:p>
        </w:tc>
      </w:tr>
    </w:tbl>
    <w:p w:rsidR="00DF4E09" w:rsidRPr="00DF4E09" w:rsidRDefault="00DF4E09" w:rsidP="00DF4E09">
      <w:pPr>
        <w:ind w:left="360"/>
        <w:jc w:val="both"/>
        <w:rPr>
          <w:rFonts w:ascii="Arial" w:hAnsi="Arial" w:cs="Arial"/>
          <w:sz w:val="20"/>
          <w:szCs w:val="20"/>
        </w:rPr>
      </w:pPr>
    </w:p>
    <w:p w:rsidR="00811F4B" w:rsidRDefault="00811F4B" w:rsidP="00DF4E09">
      <w:pPr>
        <w:jc w:val="both"/>
        <w:rPr>
          <w:rFonts w:ascii="Arial" w:hAnsi="Arial" w:cs="Arial"/>
          <w:sz w:val="20"/>
          <w:szCs w:val="20"/>
        </w:rPr>
      </w:pPr>
    </w:p>
    <w:p w:rsidR="0003507C" w:rsidRDefault="00DF4E09" w:rsidP="00DF4E09">
      <w:pPr>
        <w:jc w:val="both"/>
        <w:rPr>
          <w:rFonts w:ascii="Arial" w:hAnsi="Arial" w:cs="Arial"/>
          <w:sz w:val="20"/>
          <w:szCs w:val="20"/>
        </w:rPr>
      </w:pPr>
      <w:r w:rsidRPr="00DF4E09">
        <w:rPr>
          <w:rFonts w:ascii="Arial" w:hAnsi="Arial" w:cs="Arial"/>
          <w:sz w:val="20"/>
          <w:szCs w:val="20"/>
        </w:rPr>
        <w:t xml:space="preserve">El rubro de efectivo corresponde a un fondo </w:t>
      </w:r>
      <w:r w:rsidR="00811F4B" w:rsidRPr="00DF4E09">
        <w:rPr>
          <w:rFonts w:ascii="Arial" w:hAnsi="Arial" w:cs="Arial"/>
          <w:sz w:val="20"/>
          <w:szCs w:val="20"/>
        </w:rPr>
        <w:t>revolverte</w:t>
      </w:r>
      <w:r w:rsidRPr="00DF4E09">
        <w:rPr>
          <w:rFonts w:ascii="Arial" w:hAnsi="Arial" w:cs="Arial"/>
          <w:sz w:val="20"/>
          <w:szCs w:val="20"/>
        </w:rPr>
        <w:t xml:space="preserve"> para la operación de diversos gastos de las distintas unidades administrativas en su mayoría se utiliza para la asignación de gastos menores de la subdirección técnica, se inicia en enero, realizando cierre el mes de diciembre por disposiciones estatales, con gastos menores a quinientos pesos.</w:t>
      </w:r>
    </w:p>
    <w:p w:rsidR="0003507C" w:rsidRDefault="0003507C" w:rsidP="00DF4E09">
      <w:pPr>
        <w:jc w:val="both"/>
        <w:rPr>
          <w:rFonts w:ascii="Arial" w:hAnsi="Arial" w:cs="Arial"/>
          <w:sz w:val="20"/>
          <w:szCs w:val="20"/>
        </w:rPr>
      </w:pPr>
    </w:p>
    <w:p w:rsidR="00DF4E09" w:rsidRPr="00DF4E09" w:rsidRDefault="00397407" w:rsidP="00DF4E09">
      <w:pPr>
        <w:jc w:val="both"/>
        <w:rPr>
          <w:rFonts w:ascii="Arial" w:hAnsi="Arial" w:cs="Arial"/>
          <w:sz w:val="20"/>
          <w:szCs w:val="20"/>
        </w:rPr>
      </w:pPr>
      <w:r>
        <w:rPr>
          <w:rFonts w:ascii="Arial" w:hAnsi="Arial" w:cs="Arial"/>
          <w:sz w:val="20"/>
          <w:szCs w:val="20"/>
        </w:rPr>
        <w:t xml:space="preserve">No se </w:t>
      </w:r>
      <w:r w:rsidR="00DF4E09" w:rsidRPr="00DF4E09">
        <w:rPr>
          <w:rFonts w:ascii="Arial" w:hAnsi="Arial" w:cs="Arial"/>
          <w:sz w:val="20"/>
          <w:szCs w:val="20"/>
        </w:rPr>
        <w:t>cuenta con inversiones, las cuentas son de ahorro – chequera, transferencias electrónicas.</w:t>
      </w:r>
    </w:p>
    <w:p w:rsidR="00C017CD" w:rsidRDefault="00C017CD" w:rsidP="00DF4E09">
      <w:pPr>
        <w:jc w:val="both"/>
        <w:rPr>
          <w:rFonts w:ascii="Arial" w:hAnsi="Arial" w:cs="Arial"/>
          <w:sz w:val="20"/>
          <w:szCs w:val="20"/>
        </w:rPr>
      </w:pPr>
    </w:p>
    <w:p w:rsidR="00DF4E09" w:rsidRPr="00DF4E09" w:rsidRDefault="00C017CD" w:rsidP="00DF4E09">
      <w:pPr>
        <w:jc w:val="both"/>
        <w:rPr>
          <w:rFonts w:ascii="Arial" w:hAnsi="Arial" w:cs="Arial"/>
          <w:sz w:val="20"/>
          <w:szCs w:val="20"/>
        </w:rPr>
      </w:pPr>
      <w:r w:rsidRPr="00DE4154">
        <w:rPr>
          <w:rFonts w:ascii="Arial" w:hAnsi="Arial" w:cs="Arial"/>
          <w:b/>
          <w:sz w:val="20"/>
          <w:szCs w:val="20"/>
        </w:rPr>
        <w:t xml:space="preserve">Nota </w:t>
      </w:r>
      <w:r w:rsidR="00DF4E09" w:rsidRPr="00DE4154">
        <w:rPr>
          <w:rFonts w:ascii="Arial" w:hAnsi="Arial" w:cs="Arial"/>
          <w:b/>
          <w:sz w:val="20"/>
          <w:szCs w:val="20"/>
        </w:rPr>
        <w:t>2</w:t>
      </w:r>
      <w:r>
        <w:rPr>
          <w:rFonts w:ascii="Arial" w:hAnsi="Arial" w:cs="Arial"/>
          <w:sz w:val="20"/>
          <w:szCs w:val="20"/>
        </w:rPr>
        <w:t xml:space="preserve"> Derechos a recibir efectivo o equivalentes</w:t>
      </w:r>
      <w:r w:rsidR="00DF4E09" w:rsidRPr="00DF4E09">
        <w:rPr>
          <w:rFonts w:ascii="Arial" w:hAnsi="Arial" w:cs="Arial"/>
          <w:sz w:val="20"/>
          <w:szCs w:val="20"/>
        </w:rPr>
        <w:t xml:space="preserve">.- </w:t>
      </w:r>
      <w:r>
        <w:rPr>
          <w:rFonts w:ascii="Arial" w:hAnsi="Arial" w:cs="Arial"/>
          <w:sz w:val="20"/>
          <w:szCs w:val="20"/>
        </w:rPr>
        <w:t>S</w:t>
      </w:r>
      <w:r w:rsidR="00DF4E09" w:rsidRPr="00DF4E09">
        <w:rPr>
          <w:rFonts w:ascii="Arial" w:hAnsi="Arial" w:cs="Arial"/>
          <w:sz w:val="20"/>
          <w:szCs w:val="20"/>
        </w:rPr>
        <w:t>e encuentra integrada de la siguiente manera;</w:t>
      </w:r>
    </w:p>
    <w:p w:rsidR="00DF4E09" w:rsidRPr="00DF4E09" w:rsidRDefault="00DF4E09" w:rsidP="00DF4E09">
      <w:pPr>
        <w:jc w:val="both"/>
        <w:rPr>
          <w:rFonts w:ascii="Arial" w:hAnsi="Arial" w:cs="Arial"/>
          <w:sz w:val="20"/>
          <w:szCs w:val="20"/>
        </w:rPr>
      </w:pPr>
    </w:p>
    <w:tbl>
      <w:tblPr>
        <w:tblStyle w:val="Tablaconcuadrcula"/>
        <w:tblW w:w="0" w:type="auto"/>
        <w:jc w:val="center"/>
        <w:tblLook w:val="04A0"/>
      </w:tblPr>
      <w:tblGrid>
        <w:gridCol w:w="5920"/>
        <w:gridCol w:w="2268"/>
      </w:tblGrid>
      <w:tr w:rsidR="00DF4E09" w:rsidRPr="00DF4E09" w:rsidTr="00DF4E09">
        <w:trPr>
          <w:jc w:val="center"/>
        </w:trPr>
        <w:tc>
          <w:tcPr>
            <w:tcW w:w="5920"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CONCEPTO</w:t>
            </w:r>
          </w:p>
        </w:tc>
        <w:tc>
          <w:tcPr>
            <w:tcW w:w="2268"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DF4E09">
        <w:trPr>
          <w:jc w:val="center"/>
        </w:trPr>
        <w:tc>
          <w:tcPr>
            <w:tcW w:w="5920"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Cuentas por cobrar a corto plazo</w:t>
            </w:r>
          </w:p>
        </w:tc>
        <w:tc>
          <w:tcPr>
            <w:tcW w:w="2268" w:type="dxa"/>
            <w:vAlign w:val="center"/>
          </w:tcPr>
          <w:p w:rsidR="0003507C" w:rsidRPr="00DF4E09" w:rsidRDefault="00DF4E09" w:rsidP="0027568E">
            <w:pPr>
              <w:jc w:val="right"/>
              <w:rPr>
                <w:rFonts w:ascii="Arial" w:hAnsi="Arial" w:cs="Arial"/>
                <w:sz w:val="20"/>
                <w:szCs w:val="20"/>
                <w:lang w:val="es-ES"/>
              </w:rPr>
            </w:pPr>
            <w:r w:rsidRPr="00DF4E09">
              <w:rPr>
                <w:rFonts w:ascii="Arial" w:hAnsi="Arial" w:cs="Arial"/>
                <w:sz w:val="20"/>
                <w:szCs w:val="20"/>
                <w:lang w:val="es-ES"/>
              </w:rPr>
              <w:t xml:space="preserve">      1,</w:t>
            </w:r>
            <w:r w:rsidR="0027568E">
              <w:rPr>
                <w:rFonts w:ascii="Arial" w:hAnsi="Arial" w:cs="Arial"/>
                <w:sz w:val="20"/>
                <w:szCs w:val="20"/>
                <w:lang w:val="es-ES"/>
              </w:rPr>
              <w:t>3</w:t>
            </w:r>
            <w:r w:rsidR="00E655D5">
              <w:rPr>
                <w:rFonts w:ascii="Arial" w:hAnsi="Arial" w:cs="Arial"/>
                <w:sz w:val="20"/>
                <w:szCs w:val="20"/>
                <w:lang w:val="es-ES"/>
              </w:rPr>
              <w:t>13,</w:t>
            </w:r>
            <w:r w:rsidR="0027568E">
              <w:rPr>
                <w:rFonts w:ascii="Arial" w:hAnsi="Arial" w:cs="Arial"/>
                <w:sz w:val="20"/>
                <w:szCs w:val="20"/>
                <w:lang w:val="es-ES"/>
              </w:rPr>
              <w:t>222.33</w:t>
            </w:r>
          </w:p>
        </w:tc>
      </w:tr>
      <w:tr w:rsidR="00DF4E09" w:rsidRPr="00DF4E09" w:rsidTr="00DF4E09">
        <w:trPr>
          <w:jc w:val="center"/>
        </w:trPr>
        <w:tc>
          <w:tcPr>
            <w:tcW w:w="5920"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Deudores diversos por cobrar a corto plazo</w:t>
            </w:r>
          </w:p>
        </w:tc>
        <w:tc>
          <w:tcPr>
            <w:tcW w:w="2268" w:type="dxa"/>
            <w:vAlign w:val="center"/>
          </w:tcPr>
          <w:p w:rsidR="00DF4E09" w:rsidRPr="00DF4E09" w:rsidRDefault="00E655D5" w:rsidP="003965BF">
            <w:pPr>
              <w:jc w:val="right"/>
              <w:rPr>
                <w:rFonts w:ascii="Arial" w:hAnsi="Arial" w:cs="Arial"/>
                <w:sz w:val="20"/>
                <w:szCs w:val="20"/>
                <w:lang w:val="es-ES"/>
              </w:rPr>
            </w:pPr>
            <w:r>
              <w:rPr>
                <w:rFonts w:ascii="Arial" w:hAnsi="Arial" w:cs="Arial"/>
                <w:sz w:val="20"/>
                <w:szCs w:val="20"/>
                <w:lang w:val="es-ES"/>
              </w:rPr>
              <w:t>4</w:t>
            </w:r>
            <w:r w:rsidR="0027568E">
              <w:rPr>
                <w:rFonts w:ascii="Arial" w:hAnsi="Arial" w:cs="Arial"/>
                <w:sz w:val="20"/>
                <w:szCs w:val="20"/>
                <w:lang w:val="es-ES"/>
              </w:rPr>
              <w:t>9,232.00</w:t>
            </w:r>
          </w:p>
        </w:tc>
      </w:tr>
      <w:tr w:rsidR="00DF4E09" w:rsidRPr="00DF4E09" w:rsidTr="00DF4E09">
        <w:trPr>
          <w:jc w:val="center"/>
        </w:trPr>
        <w:tc>
          <w:tcPr>
            <w:tcW w:w="5920" w:type="dxa"/>
            <w:tcBorders>
              <w:bottom w:val="single" w:sz="4" w:space="0" w:color="auto"/>
            </w:tcBorders>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por recuperar a corto plazo</w:t>
            </w:r>
          </w:p>
        </w:tc>
        <w:tc>
          <w:tcPr>
            <w:tcW w:w="2268" w:type="dxa"/>
            <w:tcBorders>
              <w:bottom w:val="single" w:sz="4" w:space="0" w:color="auto"/>
            </w:tcBorders>
            <w:vAlign w:val="center"/>
          </w:tcPr>
          <w:p w:rsidR="00DF4E09" w:rsidRPr="00DF4E09" w:rsidRDefault="0027568E" w:rsidP="003965BF">
            <w:pPr>
              <w:jc w:val="right"/>
              <w:rPr>
                <w:rFonts w:ascii="Arial" w:hAnsi="Arial" w:cs="Arial"/>
                <w:sz w:val="20"/>
                <w:szCs w:val="20"/>
                <w:lang w:val="es-ES"/>
              </w:rPr>
            </w:pPr>
            <w:r>
              <w:rPr>
                <w:rFonts w:ascii="Arial" w:hAnsi="Arial" w:cs="Arial"/>
                <w:sz w:val="20"/>
                <w:szCs w:val="20"/>
                <w:lang w:val="es-ES"/>
              </w:rPr>
              <w:t xml:space="preserve">         0</w:t>
            </w:r>
            <w:r w:rsidR="00DF4E09" w:rsidRPr="00DF4E09">
              <w:rPr>
                <w:rFonts w:ascii="Arial" w:hAnsi="Arial" w:cs="Arial"/>
                <w:sz w:val="20"/>
                <w:szCs w:val="20"/>
                <w:lang w:val="es-ES"/>
              </w:rPr>
              <w:t xml:space="preserve">.00 </w:t>
            </w:r>
          </w:p>
        </w:tc>
      </w:tr>
      <w:tr w:rsidR="0003507C" w:rsidRPr="00DF4E09" w:rsidTr="00DF4E09">
        <w:trPr>
          <w:jc w:val="center"/>
        </w:trPr>
        <w:tc>
          <w:tcPr>
            <w:tcW w:w="5920" w:type="dxa"/>
            <w:tcBorders>
              <w:bottom w:val="single" w:sz="4" w:space="0" w:color="auto"/>
            </w:tcBorders>
          </w:tcPr>
          <w:p w:rsidR="0003507C" w:rsidRPr="00DF4E09" w:rsidRDefault="0003507C" w:rsidP="003965BF">
            <w:pPr>
              <w:jc w:val="both"/>
              <w:rPr>
                <w:rFonts w:ascii="Arial" w:hAnsi="Arial" w:cs="Arial"/>
                <w:sz w:val="20"/>
                <w:szCs w:val="20"/>
              </w:rPr>
            </w:pPr>
            <w:r>
              <w:rPr>
                <w:rFonts w:ascii="Arial" w:hAnsi="Arial" w:cs="Arial"/>
                <w:sz w:val="20"/>
                <w:szCs w:val="20"/>
              </w:rPr>
              <w:t>Otros Derechos a recibir efectivo</w:t>
            </w:r>
          </w:p>
        </w:tc>
        <w:tc>
          <w:tcPr>
            <w:tcW w:w="2268" w:type="dxa"/>
            <w:tcBorders>
              <w:bottom w:val="single" w:sz="4" w:space="0" w:color="auto"/>
            </w:tcBorders>
            <w:vAlign w:val="center"/>
          </w:tcPr>
          <w:p w:rsidR="0003507C" w:rsidRPr="00DF4E09" w:rsidRDefault="0027568E" w:rsidP="006E0FE4">
            <w:pPr>
              <w:jc w:val="right"/>
              <w:rPr>
                <w:rFonts w:ascii="Arial" w:hAnsi="Arial" w:cs="Arial"/>
                <w:sz w:val="20"/>
                <w:szCs w:val="20"/>
              </w:rPr>
            </w:pPr>
            <w:r>
              <w:rPr>
                <w:rFonts w:ascii="Arial" w:hAnsi="Arial" w:cs="Arial"/>
                <w:sz w:val="20"/>
                <w:szCs w:val="20"/>
              </w:rPr>
              <w:t>69,724.64</w:t>
            </w:r>
          </w:p>
        </w:tc>
      </w:tr>
      <w:tr w:rsidR="00DF4E09" w:rsidRPr="00DF4E09" w:rsidTr="00DF4E09">
        <w:trPr>
          <w:jc w:val="center"/>
        </w:trPr>
        <w:tc>
          <w:tcPr>
            <w:tcW w:w="5920" w:type="dxa"/>
            <w:tcBorders>
              <w:bottom w:val="single" w:sz="4" w:space="0" w:color="auto"/>
            </w:tcBorders>
          </w:tcPr>
          <w:p w:rsidR="00DF4E09" w:rsidRPr="00DF4E09" w:rsidRDefault="00DF4E09" w:rsidP="003965BF">
            <w:pPr>
              <w:jc w:val="right"/>
              <w:rPr>
                <w:rFonts w:ascii="Arial" w:hAnsi="Arial" w:cs="Arial"/>
                <w:b/>
                <w:sz w:val="20"/>
                <w:szCs w:val="20"/>
                <w:lang w:val="es-ES"/>
              </w:rPr>
            </w:pPr>
            <w:r w:rsidRPr="00DF4E09">
              <w:rPr>
                <w:rFonts w:ascii="Arial" w:hAnsi="Arial" w:cs="Arial"/>
                <w:b/>
                <w:sz w:val="20"/>
                <w:szCs w:val="20"/>
                <w:lang w:val="es-ES"/>
              </w:rPr>
              <w:t>Total  de Derechos a recibir efectivo o equivalente</w:t>
            </w:r>
          </w:p>
        </w:tc>
        <w:tc>
          <w:tcPr>
            <w:tcW w:w="2268" w:type="dxa"/>
            <w:tcBorders>
              <w:bottom w:val="single" w:sz="4" w:space="0" w:color="auto"/>
            </w:tcBorders>
          </w:tcPr>
          <w:p w:rsidR="00DF4E09" w:rsidRPr="00DF4E09" w:rsidRDefault="0027568E" w:rsidP="006E0FE4">
            <w:pPr>
              <w:jc w:val="right"/>
              <w:rPr>
                <w:rFonts w:ascii="Arial" w:hAnsi="Arial" w:cs="Arial"/>
                <w:b/>
                <w:sz w:val="20"/>
                <w:szCs w:val="20"/>
                <w:lang w:val="es-ES"/>
              </w:rPr>
            </w:pPr>
            <w:r>
              <w:rPr>
                <w:rFonts w:ascii="Arial" w:hAnsi="Arial" w:cs="Arial"/>
                <w:b/>
                <w:sz w:val="20"/>
                <w:szCs w:val="20"/>
                <w:lang w:val="es-ES"/>
              </w:rPr>
              <w:t>1,432,178.97</w:t>
            </w:r>
          </w:p>
        </w:tc>
      </w:tr>
    </w:tbl>
    <w:p w:rsidR="00DF4E09" w:rsidRPr="00DF4E09" w:rsidRDefault="00DF4E09" w:rsidP="00DF4E09">
      <w:pPr>
        <w:pStyle w:val="Prrafodelista"/>
        <w:spacing w:after="0"/>
        <w:ind w:left="0"/>
        <w:jc w:val="both"/>
        <w:rPr>
          <w:rFonts w:ascii="Arial" w:hAnsi="Arial" w:cs="Arial"/>
          <w:sz w:val="20"/>
          <w:szCs w:val="20"/>
          <w:lang w:val="es-ES"/>
        </w:rPr>
      </w:pPr>
    </w:p>
    <w:p w:rsidR="00811F4B" w:rsidRDefault="00811F4B"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En el concepto de cuentas por cobrar a corto plazo se tiene un saldo a cargo del Gobierno del Estado por concepto de servicio de conexión a internet prestado a la Secretaria de Educación y </w:t>
      </w:r>
      <w:r w:rsidR="0052305F">
        <w:rPr>
          <w:rFonts w:ascii="Arial" w:hAnsi="Arial" w:cs="Arial"/>
          <w:sz w:val="20"/>
          <w:szCs w:val="20"/>
          <w:lang w:val="es-ES"/>
        </w:rPr>
        <w:t>C</w:t>
      </w:r>
      <w:r w:rsidR="0027568E">
        <w:rPr>
          <w:rFonts w:ascii="Arial" w:hAnsi="Arial" w:cs="Arial"/>
          <w:sz w:val="20"/>
          <w:szCs w:val="20"/>
          <w:lang w:val="es-ES"/>
        </w:rPr>
        <w:t>ultura que representa el 92</w:t>
      </w:r>
      <w:r w:rsidRPr="00DF4E09">
        <w:rPr>
          <w:rFonts w:ascii="Arial" w:hAnsi="Arial" w:cs="Arial"/>
          <w:sz w:val="20"/>
          <w:szCs w:val="20"/>
          <w:lang w:val="es-ES"/>
        </w:rPr>
        <w:t>% del total, así mismo el mismo Gobierno del Estado tiene un saldo por concepto de retención efectuada a Municipios por servicio de conexión a internet, radiocomunicación y servicio telefónico brindado por este Organismo a diversos municipios del estado ca</w:t>
      </w:r>
      <w:r w:rsidR="0027568E">
        <w:rPr>
          <w:rFonts w:ascii="Arial" w:hAnsi="Arial" w:cs="Arial"/>
          <w:sz w:val="20"/>
          <w:szCs w:val="20"/>
          <w:lang w:val="es-ES"/>
        </w:rPr>
        <w:t xml:space="preserve">ntidad que representa </w:t>
      </w:r>
      <w:r w:rsidRPr="00DF4E09">
        <w:rPr>
          <w:rFonts w:ascii="Arial" w:hAnsi="Arial" w:cs="Arial"/>
          <w:sz w:val="20"/>
          <w:szCs w:val="20"/>
          <w:lang w:val="es-ES"/>
        </w:rPr>
        <w:t xml:space="preserve">el </w:t>
      </w:r>
      <w:r w:rsidR="0027568E">
        <w:rPr>
          <w:rFonts w:ascii="Arial" w:hAnsi="Arial" w:cs="Arial"/>
          <w:sz w:val="20"/>
          <w:szCs w:val="20"/>
          <w:lang w:val="es-ES"/>
        </w:rPr>
        <w:t>8</w:t>
      </w:r>
      <w:r w:rsidRPr="00DF4E09">
        <w:rPr>
          <w:rFonts w:ascii="Arial" w:hAnsi="Arial" w:cs="Arial"/>
          <w:sz w:val="20"/>
          <w:szCs w:val="20"/>
          <w:lang w:val="es-ES"/>
        </w:rPr>
        <w:t xml:space="preserve">%, la cantidad restante incluye entre otros el Saldo pendiente de pago por servicios brindados durante 2013 por este Organismo a IFODES </w:t>
      </w:r>
      <w:r w:rsidR="0027568E">
        <w:rPr>
          <w:rFonts w:ascii="Arial" w:hAnsi="Arial" w:cs="Arial"/>
          <w:sz w:val="20"/>
          <w:szCs w:val="20"/>
          <w:lang w:val="es-ES"/>
        </w:rPr>
        <w:t>fue liquidado en el mes de septiembre.</w:t>
      </w:r>
    </w:p>
    <w:p w:rsidR="003E185A" w:rsidRDefault="003E185A" w:rsidP="00DF4E09">
      <w:pPr>
        <w:ind w:firstLine="708"/>
        <w:rPr>
          <w:rFonts w:ascii="Arial" w:hAnsi="Arial" w:cs="Arial"/>
          <w:b/>
          <w:sz w:val="20"/>
          <w:szCs w:val="20"/>
        </w:rPr>
      </w:pPr>
    </w:p>
    <w:p w:rsidR="00DF4E09" w:rsidRPr="00DF4E09" w:rsidRDefault="00DF4E09" w:rsidP="003E185A">
      <w:pPr>
        <w:rPr>
          <w:rFonts w:ascii="Arial" w:hAnsi="Arial" w:cs="Arial"/>
          <w:b/>
          <w:sz w:val="20"/>
          <w:szCs w:val="20"/>
        </w:rPr>
      </w:pPr>
      <w:r w:rsidRPr="00DF4E09">
        <w:rPr>
          <w:rFonts w:ascii="Arial" w:hAnsi="Arial" w:cs="Arial"/>
          <w:b/>
          <w:sz w:val="20"/>
          <w:szCs w:val="20"/>
        </w:rPr>
        <w:t>Bienes disponibles para su Transformación o Consumo</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Este Organismo no cuenta con inventarios ya sea por dedicarse a brindar servicios así como a que las adquisiciones de materiales se </w:t>
      </w:r>
      <w:r w:rsidR="00811F4B" w:rsidRPr="00DF4E09">
        <w:rPr>
          <w:rFonts w:ascii="Arial" w:hAnsi="Arial" w:cs="Arial"/>
          <w:sz w:val="20"/>
          <w:szCs w:val="20"/>
          <w:lang w:val="es-ES"/>
        </w:rPr>
        <w:t>realizan</w:t>
      </w:r>
      <w:r w:rsidR="0027568E">
        <w:rPr>
          <w:rFonts w:ascii="Arial" w:hAnsi="Arial" w:cs="Arial"/>
          <w:sz w:val="20"/>
          <w:szCs w:val="20"/>
          <w:lang w:val="es-ES"/>
        </w:rPr>
        <w:t xml:space="preserve"> </w:t>
      </w:r>
      <w:r w:rsidR="00811F4B" w:rsidRPr="00DF4E09">
        <w:rPr>
          <w:rFonts w:ascii="Arial" w:hAnsi="Arial" w:cs="Arial"/>
          <w:sz w:val="20"/>
          <w:szCs w:val="20"/>
          <w:lang w:val="es-ES"/>
        </w:rPr>
        <w:t>solo</w:t>
      </w:r>
      <w:r w:rsidRPr="00DF4E09">
        <w:rPr>
          <w:rFonts w:ascii="Arial" w:hAnsi="Arial" w:cs="Arial"/>
          <w:sz w:val="20"/>
          <w:szCs w:val="20"/>
          <w:lang w:val="es-ES"/>
        </w:rPr>
        <w:t xml:space="preserve"> cuando se va a utilizar debido a que se cuenta con poco lugar para su almacenaje.</w:t>
      </w:r>
    </w:p>
    <w:p w:rsidR="00DA66DF" w:rsidRDefault="00DA66DF" w:rsidP="003E185A">
      <w:pPr>
        <w:jc w:val="both"/>
        <w:rPr>
          <w:rFonts w:ascii="Arial" w:hAnsi="Arial" w:cs="Arial"/>
          <w:b/>
          <w:sz w:val="20"/>
          <w:szCs w:val="20"/>
        </w:rPr>
      </w:pPr>
    </w:p>
    <w:p w:rsidR="00DF4E09" w:rsidRPr="003E185A" w:rsidRDefault="00DF4E09" w:rsidP="003E185A">
      <w:pPr>
        <w:jc w:val="both"/>
        <w:rPr>
          <w:rFonts w:ascii="Arial" w:hAnsi="Arial" w:cs="Arial"/>
          <w:b/>
          <w:sz w:val="20"/>
          <w:szCs w:val="20"/>
        </w:rPr>
      </w:pPr>
      <w:r w:rsidRPr="003E185A">
        <w:rPr>
          <w:rFonts w:ascii="Arial" w:hAnsi="Arial" w:cs="Arial"/>
          <w:b/>
          <w:sz w:val="20"/>
          <w:szCs w:val="20"/>
        </w:rPr>
        <w:t>Inversiones Financieras</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Inversiones Financieras no aplica debido a que este Organismo no cuenta con Inversiones financieras.</w:t>
      </w:r>
    </w:p>
    <w:p w:rsidR="003E185A" w:rsidRDefault="003E185A"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Default="0027568E" w:rsidP="00DF7493">
      <w:pPr>
        <w:jc w:val="both"/>
        <w:rPr>
          <w:rFonts w:ascii="Arial" w:hAnsi="Arial" w:cs="Arial"/>
          <w:sz w:val="20"/>
          <w:szCs w:val="20"/>
        </w:rPr>
      </w:pPr>
    </w:p>
    <w:p w:rsidR="0027568E" w:rsidRPr="00DF7493" w:rsidRDefault="0027568E" w:rsidP="00DF7493">
      <w:pPr>
        <w:jc w:val="both"/>
        <w:rPr>
          <w:rFonts w:ascii="Arial" w:hAnsi="Arial" w:cs="Arial"/>
          <w:sz w:val="20"/>
          <w:szCs w:val="20"/>
        </w:rPr>
      </w:pPr>
    </w:p>
    <w:p w:rsidR="00811F4B" w:rsidRDefault="00811F4B" w:rsidP="003E185A">
      <w:pPr>
        <w:jc w:val="both"/>
        <w:rPr>
          <w:rFonts w:ascii="Arial" w:hAnsi="Arial" w:cs="Arial"/>
          <w:b/>
          <w:sz w:val="20"/>
          <w:szCs w:val="20"/>
        </w:rPr>
      </w:pPr>
    </w:p>
    <w:p w:rsidR="00DF4E09" w:rsidRPr="003E185A" w:rsidRDefault="003E185A" w:rsidP="003E185A">
      <w:pPr>
        <w:jc w:val="both"/>
        <w:rPr>
          <w:rFonts w:ascii="Arial" w:hAnsi="Arial" w:cs="Arial"/>
          <w:sz w:val="20"/>
          <w:szCs w:val="20"/>
        </w:rPr>
      </w:pPr>
      <w:r>
        <w:rPr>
          <w:rFonts w:ascii="Arial" w:hAnsi="Arial" w:cs="Arial"/>
          <w:b/>
          <w:sz w:val="20"/>
          <w:szCs w:val="20"/>
        </w:rPr>
        <w:lastRenderedPageBreak/>
        <w:t xml:space="preserve">Nota 3.- </w:t>
      </w:r>
      <w:r w:rsidR="00DF4E09" w:rsidRPr="003E185A">
        <w:rPr>
          <w:rFonts w:ascii="Arial" w:hAnsi="Arial" w:cs="Arial"/>
          <w:b/>
          <w:sz w:val="20"/>
          <w:szCs w:val="20"/>
        </w:rPr>
        <w:t>Bienes muebles, Inmuebles e Intangibles</w:t>
      </w:r>
    </w:p>
    <w:p w:rsidR="003E185A" w:rsidRDefault="003E185A" w:rsidP="00DF4E09">
      <w:pPr>
        <w:pStyle w:val="Prrafodelista"/>
        <w:spacing w:after="0"/>
        <w:ind w:left="0"/>
        <w:jc w:val="both"/>
        <w:rPr>
          <w:rFonts w:ascii="Arial" w:hAnsi="Arial" w:cs="Arial"/>
          <w:sz w:val="20"/>
          <w:szCs w:val="20"/>
          <w:lang w:val="es-ES"/>
        </w:rPr>
      </w:pPr>
    </w:p>
    <w:p w:rsidR="003E185A"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Bienes muebles, Inmuebles e Intangibles.</w:t>
      </w:r>
    </w:p>
    <w:tbl>
      <w:tblPr>
        <w:tblStyle w:val="Tablaconcuadrcula"/>
        <w:tblW w:w="0" w:type="auto"/>
        <w:tblLook w:val="04A0"/>
      </w:tblPr>
      <w:tblGrid>
        <w:gridCol w:w="7905"/>
        <w:gridCol w:w="1275"/>
      </w:tblGrid>
      <w:tr w:rsidR="00DF4E09" w:rsidRPr="00DF4E09" w:rsidTr="008E4566">
        <w:tc>
          <w:tcPr>
            <w:tcW w:w="7905" w:type="dxa"/>
            <w:tcBorders>
              <w:bottom w:val="single" w:sz="4" w:space="0" w:color="auto"/>
            </w:tcBorders>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Bienes Inmuebles</w:t>
            </w:r>
          </w:p>
        </w:tc>
        <w:tc>
          <w:tcPr>
            <w:tcW w:w="1275"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E4566">
        <w:tc>
          <w:tcPr>
            <w:tcW w:w="7905" w:type="dxa"/>
            <w:tcBorders>
              <w:bottom w:val="single" w:sz="4" w:space="0" w:color="auto"/>
            </w:tcBorders>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Infraestructura de Telecomunicaciones.- 1 Caseta de block de 6 x 6 metros construida en el bachan (Repetidor de Mazatán) con el fin de albergar al equipo repetidor</w:t>
            </w:r>
          </w:p>
        </w:tc>
        <w:tc>
          <w:tcPr>
            <w:tcW w:w="1275" w:type="dxa"/>
            <w:tcBorders>
              <w:bottom w:val="single" w:sz="4" w:space="0" w:color="auto"/>
            </w:tcBorders>
          </w:tcPr>
          <w:p w:rsidR="00DF4E09" w:rsidRPr="00DF4E09" w:rsidRDefault="00DF4E09" w:rsidP="003965BF">
            <w:pPr>
              <w:pStyle w:val="Prrafodelista"/>
              <w:ind w:left="0"/>
              <w:jc w:val="right"/>
              <w:rPr>
                <w:rFonts w:ascii="Arial" w:hAnsi="Arial" w:cs="Arial"/>
                <w:sz w:val="20"/>
                <w:szCs w:val="20"/>
                <w:lang w:val="es-ES"/>
              </w:rPr>
            </w:pPr>
            <w:r w:rsidRPr="00DF4E09">
              <w:rPr>
                <w:rFonts w:ascii="Arial" w:hAnsi="Arial" w:cs="Arial"/>
                <w:sz w:val="20"/>
                <w:szCs w:val="20"/>
                <w:lang w:val="es-ES"/>
              </w:rPr>
              <w:t>86,000.00</w:t>
            </w:r>
          </w:p>
        </w:tc>
      </w:tr>
      <w:tr w:rsidR="00DF4E09" w:rsidRPr="00DF4E09" w:rsidTr="008E4566">
        <w:tc>
          <w:tcPr>
            <w:tcW w:w="7905" w:type="dxa"/>
            <w:tcBorders>
              <w:top w:val="single" w:sz="4" w:space="0" w:color="auto"/>
              <w:left w:val="nil"/>
              <w:bottom w:val="nil"/>
              <w:right w:val="single" w:sz="4" w:space="0" w:color="auto"/>
            </w:tcBorders>
          </w:tcPr>
          <w:p w:rsidR="00DF4E09" w:rsidRPr="00DF4E09" w:rsidRDefault="00DF4E09" w:rsidP="003965BF">
            <w:pPr>
              <w:pStyle w:val="Prrafodelista"/>
              <w:ind w:left="0"/>
              <w:jc w:val="both"/>
              <w:rPr>
                <w:rFonts w:ascii="Arial" w:hAnsi="Arial" w:cs="Arial"/>
                <w:sz w:val="20"/>
                <w:szCs w:val="20"/>
                <w:lang w:val="es-ES"/>
              </w:rPr>
            </w:pPr>
          </w:p>
        </w:tc>
        <w:tc>
          <w:tcPr>
            <w:tcW w:w="1275" w:type="dxa"/>
            <w:tcBorders>
              <w:left w:val="single" w:sz="4" w:space="0" w:color="auto"/>
            </w:tcBorders>
          </w:tcPr>
          <w:p w:rsidR="00DF4E09" w:rsidRPr="00DF4E09" w:rsidRDefault="00DF4E09" w:rsidP="003965BF">
            <w:pPr>
              <w:pStyle w:val="Prrafodelista"/>
              <w:ind w:left="0"/>
              <w:jc w:val="right"/>
              <w:rPr>
                <w:rFonts w:ascii="Arial" w:hAnsi="Arial" w:cs="Arial"/>
                <w:b/>
                <w:sz w:val="20"/>
                <w:szCs w:val="20"/>
                <w:lang w:val="es-ES"/>
              </w:rPr>
            </w:pPr>
            <w:r w:rsidRPr="00DF4E09">
              <w:rPr>
                <w:rFonts w:ascii="Arial" w:hAnsi="Arial" w:cs="Arial"/>
                <w:b/>
                <w:sz w:val="20"/>
                <w:szCs w:val="20"/>
                <w:lang w:val="es-ES"/>
              </w:rPr>
              <w:t>86,000.00</w:t>
            </w:r>
          </w:p>
        </w:tc>
      </w:tr>
    </w:tbl>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338"/>
        <w:gridCol w:w="1640"/>
      </w:tblGrid>
      <w:tr w:rsidR="00DF4E09" w:rsidRPr="00DF4E09" w:rsidTr="003965BF">
        <w:tc>
          <w:tcPr>
            <w:tcW w:w="7338"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Bienes Muebles</w:t>
            </w:r>
          </w:p>
        </w:tc>
        <w:tc>
          <w:tcPr>
            <w:tcW w:w="1640"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Muebles de Oficina y Estantería</w:t>
            </w:r>
          </w:p>
        </w:tc>
        <w:tc>
          <w:tcPr>
            <w:tcW w:w="1640" w:type="dxa"/>
          </w:tcPr>
          <w:p w:rsidR="00DF4E09" w:rsidRPr="00DF4E09" w:rsidRDefault="008916EB" w:rsidP="00363BE2">
            <w:pPr>
              <w:pStyle w:val="Prrafodelista"/>
              <w:ind w:left="0"/>
              <w:jc w:val="right"/>
              <w:rPr>
                <w:rFonts w:ascii="Arial" w:hAnsi="Arial" w:cs="Arial"/>
                <w:sz w:val="20"/>
                <w:szCs w:val="20"/>
                <w:lang w:val="es-ES"/>
              </w:rPr>
            </w:pPr>
            <w:r>
              <w:rPr>
                <w:rFonts w:ascii="Arial" w:hAnsi="Arial" w:cs="Arial"/>
                <w:sz w:val="20"/>
                <w:szCs w:val="20"/>
                <w:lang w:val="es-ES"/>
              </w:rPr>
              <w:t>88,514</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Equipo de Cómputo y Tecnologías de la Información</w:t>
            </w:r>
          </w:p>
        </w:tc>
        <w:tc>
          <w:tcPr>
            <w:tcW w:w="1640" w:type="dxa"/>
          </w:tcPr>
          <w:p w:rsidR="00DF4E09" w:rsidRPr="00DF4E09" w:rsidRDefault="00363BE2" w:rsidP="003965BF">
            <w:pPr>
              <w:pStyle w:val="Prrafodelista"/>
              <w:ind w:left="0"/>
              <w:jc w:val="right"/>
              <w:rPr>
                <w:rFonts w:ascii="Arial" w:hAnsi="Arial" w:cs="Arial"/>
                <w:sz w:val="20"/>
                <w:szCs w:val="20"/>
                <w:lang w:val="es-ES"/>
              </w:rPr>
            </w:pPr>
            <w:r>
              <w:rPr>
                <w:rFonts w:ascii="Arial" w:hAnsi="Arial" w:cs="Arial"/>
                <w:sz w:val="20"/>
                <w:szCs w:val="20"/>
                <w:lang w:val="es-ES"/>
              </w:rPr>
              <w:t>2</w:t>
            </w:r>
            <w:r w:rsidR="008916EB">
              <w:rPr>
                <w:rFonts w:ascii="Arial" w:hAnsi="Arial" w:cs="Arial"/>
                <w:sz w:val="20"/>
                <w:szCs w:val="20"/>
                <w:lang w:val="es-ES"/>
              </w:rPr>
              <w:t>42,964.93</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Automóviles y Equipo Terrestre</w:t>
            </w:r>
          </w:p>
        </w:tc>
        <w:tc>
          <w:tcPr>
            <w:tcW w:w="1640" w:type="dxa"/>
          </w:tcPr>
          <w:p w:rsidR="00DF4E09" w:rsidRPr="00DF4E09" w:rsidRDefault="00DF4E09" w:rsidP="003965BF">
            <w:pPr>
              <w:pStyle w:val="Prrafodelista"/>
              <w:ind w:left="0"/>
              <w:jc w:val="right"/>
              <w:rPr>
                <w:rFonts w:ascii="Arial" w:hAnsi="Arial" w:cs="Arial"/>
                <w:sz w:val="20"/>
                <w:szCs w:val="20"/>
                <w:lang w:val="es-ES"/>
              </w:rPr>
            </w:pPr>
            <w:r w:rsidRPr="00DF4E09">
              <w:rPr>
                <w:rFonts w:ascii="Arial" w:hAnsi="Arial" w:cs="Arial"/>
                <w:sz w:val="20"/>
                <w:szCs w:val="20"/>
                <w:lang w:val="es-ES"/>
              </w:rPr>
              <w:t>475,000.00</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Equipo de Comunicación y Telecomunicación</w:t>
            </w:r>
          </w:p>
        </w:tc>
        <w:tc>
          <w:tcPr>
            <w:tcW w:w="1640" w:type="dxa"/>
          </w:tcPr>
          <w:p w:rsidR="003E185A" w:rsidRPr="00DF4E09" w:rsidRDefault="008916EB" w:rsidP="003E185A">
            <w:pPr>
              <w:pStyle w:val="Prrafodelista"/>
              <w:ind w:left="0"/>
              <w:jc w:val="right"/>
              <w:rPr>
                <w:rFonts w:ascii="Arial" w:hAnsi="Arial" w:cs="Arial"/>
                <w:sz w:val="20"/>
                <w:szCs w:val="20"/>
                <w:lang w:val="es-ES"/>
              </w:rPr>
            </w:pPr>
            <w:r>
              <w:rPr>
                <w:rFonts w:ascii="Arial" w:hAnsi="Arial" w:cs="Arial"/>
                <w:sz w:val="20"/>
                <w:szCs w:val="20"/>
                <w:lang w:val="es-ES"/>
              </w:rPr>
              <w:t>9,477,150.16</w:t>
            </w:r>
          </w:p>
        </w:tc>
      </w:tr>
      <w:tr w:rsidR="00DF4E09" w:rsidRPr="00DF4E09" w:rsidTr="003965BF">
        <w:tc>
          <w:tcPr>
            <w:tcW w:w="7338" w:type="dxa"/>
            <w:tcBorders>
              <w:top w:val="single" w:sz="4" w:space="0" w:color="auto"/>
              <w:left w:val="nil"/>
              <w:bottom w:val="nil"/>
              <w:right w:val="single" w:sz="4" w:space="0" w:color="auto"/>
            </w:tcBorders>
          </w:tcPr>
          <w:p w:rsidR="00DF4E09" w:rsidRPr="00DF4E09" w:rsidRDefault="00DF4E09" w:rsidP="003965BF">
            <w:pPr>
              <w:pStyle w:val="Prrafodelista"/>
              <w:ind w:left="0"/>
              <w:jc w:val="both"/>
              <w:rPr>
                <w:rFonts w:ascii="Arial" w:hAnsi="Arial" w:cs="Arial"/>
                <w:sz w:val="20"/>
                <w:szCs w:val="20"/>
                <w:lang w:val="es-ES"/>
              </w:rPr>
            </w:pPr>
          </w:p>
        </w:tc>
        <w:tc>
          <w:tcPr>
            <w:tcW w:w="1640" w:type="dxa"/>
            <w:tcBorders>
              <w:left w:val="single" w:sz="4" w:space="0" w:color="auto"/>
            </w:tcBorders>
          </w:tcPr>
          <w:p w:rsidR="00DF4E09" w:rsidRPr="00DF4E09" w:rsidRDefault="00DA66DF" w:rsidP="0052305F">
            <w:pPr>
              <w:pStyle w:val="Prrafodelista"/>
              <w:ind w:left="0"/>
              <w:jc w:val="right"/>
              <w:rPr>
                <w:rFonts w:ascii="Arial" w:hAnsi="Arial" w:cs="Arial"/>
                <w:b/>
                <w:sz w:val="20"/>
                <w:szCs w:val="20"/>
                <w:lang w:val="es-ES"/>
              </w:rPr>
            </w:pPr>
            <w:r>
              <w:rPr>
                <w:rFonts w:ascii="Arial" w:hAnsi="Arial" w:cs="Arial"/>
                <w:b/>
                <w:sz w:val="20"/>
                <w:szCs w:val="20"/>
                <w:lang w:val="es-ES"/>
              </w:rPr>
              <w:t>1</w:t>
            </w:r>
            <w:r w:rsidR="008916EB">
              <w:rPr>
                <w:rFonts w:ascii="Arial" w:hAnsi="Arial" w:cs="Arial"/>
                <w:b/>
                <w:sz w:val="20"/>
                <w:szCs w:val="20"/>
                <w:lang w:val="es-ES"/>
              </w:rPr>
              <w:t>0,368,153.05</w:t>
            </w:r>
          </w:p>
        </w:tc>
      </w:tr>
    </w:tbl>
    <w:p w:rsidR="00C62E93" w:rsidRDefault="00C62E93" w:rsidP="00DF4E09">
      <w:pPr>
        <w:pStyle w:val="Prrafodelista"/>
        <w:spacing w:after="0"/>
        <w:ind w:left="0"/>
        <w:jc w:val="both"/>
        <w:rPr>
          <w:rFonts w:ascii="Arial" w:hAnsi="Arial" w:cs="Arial"/>
          <w:sz w:val="20"/>
          <w:szCs w:val="20"/>
          <w:lang w:val="es-ES"/>
        </w:rPr>
      </w:pPr>
    </w:p>
    <w:p w:rsidR="00DF4E09" w:rsidRPr="00DF4E09" w:rsidRDefault="008916EB" w:rsidP="00DF4E09">
      <w:pPr>
        <w:pStyle w:val="Prrafodelista"/>
        <w:spacing w:after="0"/>
        <w:ind w:left="0"/>
        <w:jc w:val="both"/>
        <w:rPr>
          <w:rFonts w:ascii="Arial" w:hAnsi="Arial" w:cs="Arial"/>
          <w:sz w:val="20"/>
          <w:szCs w:val="20"/>
          <w:lang w:val="es-ES"/>
        </w:rPr>
      </w:pPr>
      <w:r>
        <w:rPr>
          <w:rFonts w:ascii="Arial" w:hAnsi="Arial" w:cs="Arial"/>
          <w:sz w:val="20"/>
          <w:szCs w:val="20"/>
          <w:lang w:val="es-ES"/>
        </w:rPr>
        <w:t>En el periodo enero- sept</w:t>
      </w:r>
      <w:r w:rsidR="003965BF">
        <w:rPr>
          <w:rFonts w:ascii="Arial" w:hAnsi="Arial" w:cs="Arial"/>
          <w:sz w:val="20"/>
          <w:szCs w:val="20"/>
          <w:lang w:val="es-ES"/>
        </w:rPr>
        <w:t xml:space="preserve"> de 2016, se registró la depreciación de bienes, por la cantidad de $ </w:t>
      </w:r>
      <w:r>
        <w:rPr>
          <w:rFonts w:ascii="Arial" w:hAnsi="Arial" w:cs="Arial"/>
          <w:sz w:val="20"/>
          <w:szCs w:val="20"/>
          <w:lang w:val="es-ES"/>
        </w:rPr>
        <w:t>172,807.42</w:t>
      </w:r>
      <w:r w:rsidR="00C62E93">
        <w:rPr>
          <w:rFonts w:ascii="Arial" w:hAnsi="Arial" w:cs="Arial"/>
          <w:sz w:val="20"/>
          <w:szCs w:val="20"/>
          <w:lang w:val="es-ES"/>
        </w:rPr>
        <w:t>, con una</w:t>
      </w:r>
      <w:r>
        <w:rPr>
          <w:rFonts w:ascii="Arial" w:hAnsi="Arial" w:cs="Arial"/>
          <w:sz w:val="20"/>
          <w:szCs w:val="20"/>
          <w:lang w:val="es-ES"/>
        </w:rPr>
        <w:t xml:space="preserve"> depreciación acumulada de $ 8,725,351.39</w:t>
      </w: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Pasivo</w:t>
      </w:r>
    </w:p>
    <w:p w:rsidR="00DF4E09" w:rsidRPr="00DF4E09" w:rsidRDefault="003E185A" w:rsidP="00DF4E09">
      <w:pPr>
        <w:rPr>
          <w:rFonts w:ascii="Arial" w:hAnsi="Arial" w:cs="Arial"/>
          <w:sz w:val="20"/>
          <w:szCs w:val="20"/>
        </w:rPr>
      </w:pPr>
      <w:r w:rsidRPr="004B4EED">
        <w:rPr>
          <w:rFonts w:ascii="Arial" w:hAnsi="Arial" w:cs="Arial"/>
          <w:b/>
          <w:sz w:val="20"/>
          <w:szCs w:val="20"/>
        </w:rPr>
        <w:t>Nota 4.</w:t>
      </w:r>
      <w:r>
        <w:rPr>
          <w:rFonts w:ascii="Arial" w:hAnsi="Arial" w:cs="Arial"/>
          <w:sz w:val="20"/>
          <w:szCs w:val="20"/>
        </w:rPr>
        <w:t xml:space="preserve">- </w:t>
      </w:r>
      <w:r w:rsidR="00DF4E09" w:rsidRPr="00DF4E09">
        <w:rPr>
          <w:rFonts w:ascii="Arial" w:hAnsi="Arial" w:cs="Arial"/>
          <w:sz w:val="20"/>
          <w:szCs w:val="20"/>
        </w:rPr>
        <w:t xml:space="preserve"> Cuentas y Documentos por pagar</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Cuentas por pagar a corto plazo</w:t>
            </w:r>
          </w:p>
        </w:tc>
        <w:tc>
          <w:tcPr>
            <w:tcW w:w="2066" w:type="dxa"/>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8916EB" w:rsidRPr="00DF4E09" w:rsidTr="003965BF">
        <w:tc>
          <w:tcPr>
            <w:tcW w:w="6912" w:type="dxa"/>
            <w:tcBorders>
              <w:bottom w:val="single" w:sz="4" w:space="0" w:color="auto"/>
            </w:tcBorders>
          </w:tcPr>
          <w:p w:rsidR="008916EB" w:rsidRPr="00DF4E09" w:rsidRDefault="008916EB" w:rsidP="003965BF">
            <w:pPr>
              <w:rPr>
                <w:rFonts w:ascii="Arial" w:hAnsi="Arial" w:cs="Arial"/>
                <w:sz w:val="20"/>
                <w:szCs w:val="20"/>
              </w:rPr>
            </w:pPr>
          </w:p>
        </w:tc>
        <w:tc>
          <w:tcPr>
            <w:tcW w:w="2066" w:type="dxa"/>
            <w:tcBorders>
              <w:bottom w:val="single" w:sz="4" w:space="0" w:color="auto"/>
            </w:tcBorders>
          </w:tcPr>
          <w:p w:rsidR="008916EB" w:rsidRDefault="008916EB" w:rsidP="00EF566E">
            <w:pPr>
              <w:jc w:val="right"/>
              <w:rPr>
                <w:rFonts w:ascii="Arial" w:hAnsi="Arial" w:cs="Arial"/>
                <w:sz w:val="20"/>
                <w:szCs w:val="20"/>
              </w:rPr>
            </w:pPr>
          </w:p>
        </w:tc>
      </w:tr>
      <w:tr w:rsidR="008916EB" w:rsidTr="008916EB">
        <w:tc>
          <w:tcPr>
            <w:tcW w:w="6912" w:type="dxa"/>
          </w:tcPr>
          <w:p w:rsidR="008916EB" w:rsidRPr="00DF4E09" w:rsidRDefault="008916EB" w:rsidP="008916EB">
            <w:pPr>
              <w:jc w:val="both"/>
              <w:rPr>
                <w:rFonts w:ascii="Arial" w:hAnsi="Arial" w:cs="Arial"/>
                <w:sz w:val="20"/>
                <w:szCs w:val="20"/>
              </w:rPr>
            </w:pPr>
            <w:r>
              <w:rPr>
                <w:rFonts w:ascii="Arial" w:hAnsi="Arial" w:cs="Arial"/>
                <w:sz w:val="20"/>
                <w:szCs w:val="20"/>
              </w:rPr>
              <w:t>Servicios personales por pagar</w:t>
            </w:r>
          </w:p>
        </w:tc>
        <w:tc>
          <w:tcPr>
            <w:tcW w:w="2066" w:type="dxa"/>
          </w:tcPr>
          <w:p w:rsidR="008916EB" w:rsidRDefault="008916EB" w:rsidP="008916EB">
            <w:pPr>
              <w:jc w:val="right"/>
              <w:rPr>
                <w:rFonts w:ascii="Arial" w:hAnsi="Arial" w:cs="Arial"/>
                <w:sz w:val="20"/>
                <w:szCs w:val="20"/>
              </w:rPr>
            </w:pPr>
            <w:r>
              <w:rPr>
                <w:rFonts w:ascii="Arial" w:hAnsi="Arial" w:cs="Arial"/>
                <w:sz w:val="20"/>
                <w:szCs w:val="20"/>
              </w:rPr>
              <w:t>9,086.30</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Proveedores por pagar a corto plazo</w:t>
            </w:r>
          </w:p>
        </w:tc>
        <w:tc>
          <w:tcPr>
            <w:tcW w:w="2066" w:type="dxa"/>
            <w:tcBorders>
              <w:bottom w:val="single" w:sz="4" w:space="0" w:color="auto"/>
            </w:tcBorders>
          </w:tcPr>
          <w:p w:rsidR="00DF4E09" w:rsidRPr="00DF4E09" w:rsidRDefault="008916EB" w:rsidP="00EF566E">
            <w:pPr>
              <w:jc w:val="right"/>
              <w:rPr>
                <w:rFonts w:ascii="Arial" w:hAnsi="Arial" w:cs="Arial"/>
                <w:sz w:val="20"/>
                <w:szCs w:val="20"/>
                <w:lang w:val="es-ES"/>
              </w:rPr>
            </w:pPr>
            <w:r>
              <w:rPr>
                <w:rFonts w:ascii="Arial" w:hAnsi="Arial" w:cs="Arial"/>
                <w:sz w:val="20"/>
                <w:szCs w:val="20"/>
                <w:lang w:val="es-ES"/>
              </w:rPr>
              <w:t>115,096.93</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Retenciones y contribuciones por pagar</w:t>
            </w:r>
          </w:p>
        </w:tc>
        <w:tc>
          <w:tcPr>
            <w:tcW w:w="2066" w:type="dxa"/>
            <w:tcBorders>
              <w:bottom w:val="single" w:sz="4" w:space="0" w:color="auto"/>
            </w:tcBorders>
          </w:tcPr>
          <w:p w:rsidR="00DF4E09" w:rsidRPr="00DF4E09" w:rsidRDefault="001C3ACB" w:rsidP="003965BF">
            <w:pPr>
              <w:jc w:val="right"/>
              <w:rPr>
                <w:rFonts w:ascii="Arial" w:hAnsi="Arial" w:cs="Arial"/>
                <w:sz w:val="20"/>
                <w:szCs w:val="20"/>
                <w:lang w:val="es-ES"/>
              </w:rPr>
            </w:pPr>
            <w:r>
              <w:rPr>
                <w:rFonts w:ascii="Arial" w:hAnsi="Arial" w:cs="Arial"/>
                <w:sz w:val="20"/>
                <w:szCs w:val="20"/>
                <w:lang w:val="es-ES"/>
              </w:rPr>
              <w:t>153,333.94</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Otras cuentas por pagar a corto plazo</w:t>
            </w:r>
          </w:p>
        </w:tc>
        <w:tc>
          <w:tcPr>
            <w:tcW w:w="2066" w:type="dxa"/>
            <w:tcBorders>
              <w:bottom w:val="single" w:sz="4" w:space="0" w:color="auto"/>
            </w:tcBorders>
          </w:tcPr>
          <w:p w:rsidR="00DF4E09" w:rsidRPr="00DF4E09" w:rsidRDefault="001C3ACB" w:rsidP="003965BF">
            <w:pPr>
              <w:jc w:val="right"/>
              <w:rPr>
                <w:rFonts w:ascii="Arial" w:hAnsi="Arial" w:cs="Arial"/>
                <w:sz w:val="20"/>
                <w:szCs w:val="20"/>
                <w:lang w:val="es-ES"/>
              </w:rPr>
            </w:pPr>
            <w:r>
              <w:rPr>
                <w:rFonts w:ascii="Arial" w:hAnsi="Arial" w:cs="Arial"/>
                <w:sz w:val="20"/>
                <w:szCs w:val="20"/>
                <w:lang w:val="es-ES"/>
              </w:rPr>
              <w:t>65,922.79</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rPr>
                <w:rFonts w:ascii="Arial" w:hAnsi="Arial" w:cs="Arial"/>
                <w:sz w:val="20"/>
                <w:szCs w:val="20"/>
                <w:lang w:val="es-ES"/>
              </w:rPr>
            </w:pPr>
          </w:p>
        </w:tc>
        <w:tc>
          <w:tcPr>
            <w:tcW w:w="2066" w:type="dxa"/>
            <w:tcBorders>
              <w:left w:val="single" w:sz="4" w:space="0" w:color="auto"/>
            </w:tcBorders>
          </w:tcPr>
          <w:p w:rsidR="00DF4E09" w:rsidRPr="00DF4E09" w:rsidRDefault="001C3ACB" w:rsidP="003965BF">
            <w:pPr>
              <w:jc w:val="right"/>
              <w:rPr>
                <w:rFonts w:ascii="Arial" w:hAnsi="Arial" w:cs="Arial"/>
                <w:b/>
                <w:sz w:val="20"/>
                <w:szCs w:val="20"/>
                <w:lang w:val="es-ES"/>
              </w:rPr>
            </w:pPr>
            <w:r>
              <w:rPr>
                <w:rFonts w:ascii="Arial" w:hAnsi="Arial" w:cs="Arial"/>
                <w:b/>
                <w:sz w:val="20"/>
                <w:szCs w:val="20"/>
                <w:lang w:val="es-ES"/>
              </w:rPr>
              <w:t>343,439.96</w:t>
            </w:r>
          </w:p>
        </w:tc>
      </w:tr>
    </w:tbl>
    <w:p w:rsidR="00DF4E09" w:rsidRPr="00DF4E09" w:rsidRDefault="00DF4E09" w:rsidP="00DF4E09">
      <w:pPr>
        <w:rPr>
          <w:rFonts w:ascii="Arial" w:hAnsi="Arial" w:cs="Arial"/>
          <w:sz w:val="20"/>
          <w:szCs w:val="20"/>
        </w:rPr>
      </w:pPr>
    </w:p>
    <w:p w:rsidR="001C3ACB" w:rsidRPr="001C3ACB" w:rsidRDefault="00DF4E09" w:rsidP="00DF4E09">
      <w:pPr>
        <w:jc w:val="both"/>
        <w:rPr>
          <w:rFonts w:ascii="Arial" w:hAnsi="Arial" w:cs="Arial"/>
          <w:sz w:val="20"/>
          <w:szCs w:val="20"/>
        </w:rPr>
      </w:pPr>
      <w:r w:rsidRPr="00DF4E09">
        <w:rPr>
          <w:rFonts w:ascii="Arial" w:hAnsi="Arial" w:cs="Arial"/>
          <w:sz w:val="20"/>
          <w:szCs w:val="20"/>
        </w:rPr>
        <w:t>El saldo está integrado por importes por pagar al Sutspes, ISSSTESON,  Fonacot, Seguro de Retiro</w:t>
      </w:r>
      <w:r w:rsidR="001C3ACB">
        <w:rPr>
          <w:rFonts w:ascii="Arial" w:hAnsi="Arial" w:cs="Arial"/>
          <w:sz w:val="20"/>
          <w:szCs w:val="20"/>
        </w:rPr>
        <w:t xml:space="preserve">, impuestos por pagar del </w:t>
      </w:r>
      <w:r w:rsidRPr="00DF4E09">
        <w:rPr>
          <w:rFonts w:ascii="Arial" w:hAnsi="Arial" w:cs="Arial"/>
          <w:sz w:val="20"/>
          <w:szCs w:val="20"/>
        </w:rPr>
        <w:t>mes y de ingresos devengados n</w:t>
      </w:r>
      <w:r w:rsidR="005E5F2C">
        <w:rPr>
          <w:rFonts w:ascii="Arial" w:hAnsi="Arial" w:cs="Arial"/>
          <w:sz w:val="20"/>
          <w:szCs w:val="20"/>
        </w:rPr>
        <w:t>o recuperados del ejercicio 2012</w:t>
      </w:r>
    </w:p>
    <w:p w:rsidR="001C3ACB" w:rsidRDefault="001C3ACB" w:rsidP="00DF4E09">
      <w:pPr>
        <w:jc w:val="both"/>
        <w:rPr>
          <w:rFonts w:ascii="Arial" w:hAnsi="Arial" w:cs="Arial"/>
          <w:b/>
          <w:sz w:val="20"/>
          <w:szCs w:val="20"/>
        </w:rPr>
      </w:pPr>
    </w:p>
    <w:p w:rsidR="00DF4E09" w:rsidRPr="00635020" w:rsidRDefault="00635020" w:rsidP="00DF4E09">
      <w:pPr>
        <w:jc w:val="both"/>
        <w:rPr>
          <w:rFonts w:ascii="Arial" w:hAnsi="Arial" w:cs="Arial"/>
          <w:b/>
          <w:sz w:val="20"/>
          <w:szCs w:val="20"/>
        </w:rPr>
      </w:pPr>
      <w:r w:rsidRPr="00635020">
        <w:rPr>
          <w:rFonts w:ascii="Arial" w:hAnsi="Arial" w:cs="Arial"/>
          <w:b/>
          <w:sz w:val="20"/>
          <w:szCs w:val="20"/>
        </w:rPr>
        <w:t>Nota 5.- La Entidad cuenta con pasivos contingentes registrados en cuentas de orden, como sigue:</w:t>
      </w:r>
    </w:p>
    <w:p w:rsidR="004B4EED" w:rsidRDefault="004B4EED" w:rsidP="00DF4E09">
      <w:pPr>
        <w:jc w:val="both"/>
        <w:rPr>
          <w:rFonts w:ascii="Arial" w:hAnsi="Arial" w:cs="Arial"/>
          <w:sz w:val="20"/>
          <w:szCs w:val="20"/>
        </w:rPr>
      </w:pPr>
    </w:p>
    <w:tbl>
      <w:tblPr>
        <w:tblW w:w="9696" w:type="dxa"/>
        <w:tblInd w:w="60" w:type="dxa"/>
        <w:tblCellMar>
          <w:left w:w="70" w:type="dxa"/>
          <w:right w:w="70" w:type="dxa"/>
        </w:tblCellMar>
        <w:tblLook w:val="04A0"/>
      </w:tblPr>
      <w:tblGrid>
        <w:gridCol w:w="5612"/>
        <w:gridCol w:w="1208"/>
        <w:gridCol w:w="160"/>
        <w:gridCol w:w="2716"/>
      </w:tblGrid>
      <w:tr w:rsidR="005E5F2C" w:rsidRPr="002B7115" w:rsidTr="00475941">
        <w:trPr>
          <w:trHeight w:val="300"/>
        </w:trPr>
        <w:tc>
          <w:tcPr>
            <w:tcW w:w="5612" w:type="dxa"/>
            <w:shd w:val="clear" w:color="auto" w:fill="auto"/>
            <w:noWrap/>
            <w:vAlign w:val="bottom"/>
            <w:hideMark/>
          </w:tcPr>
          <w:p w:rsidR="005E5F2C" w:rsidRPr="002B7115" w:rsidRDefault="005E5F2C" w:rsidP="00635020">
            <w:pPr>
              <w:rPr>
                <w:rFonts w:ascii="Calibri" w:hAnsi="Calibri"/>
                <w:color w:val="000000"/>
                <w:lang w:val="es-MX" w:eastAsia="es-MX"/>
              </w:rPr>
            </w:pPr>
            <w:r w:rsidRPr="002B7115">
              <w:rPr>
                <w:rFonts w:ascii="Calibri" w:hAnsi="Calibri"/>
                <w:b/>
                <w:bCs/>
                <w:color w:val="000000"/>
                <w:sz w:val="22"/>
                <w:szCs w:val="22"/>
                <w:lang w:val="es-MX" w:eastAsia="es-MX"/>
              </w:rPr>
              <w:t>A Corto Plazo</w:t>
            </w:r>
            <w:r>
              <w:rPr>
                <w:rFonts w:ascii="Calibri" w:hAnsi="Calibri"/>
                <w:b/>
                <w:bCs/>
                <w:color w:val="000000"/>
                <w:sz w:val="22"/>
                <w:szCs w:val="22"/>
                <w:lang w:val="es-MX" w:eastAsia="es-MX"/>
              </w:rPr>
              <w:t xml:space="preserve"> (En cuentas de Orden)</w:t>
            </w:r>
          </w:p>
        </w:tc>
        <w:tc>
          <w:tcPr>
            <w:tcW w:w="1208" w:type="dxa"/>
            <w:shd w:val="clear" w:color="auto" w:fill="auto"/>
            <w:noWrap/>
            <w:vAlign w:val="bottom"/>
            <w:hideMark/>
          </w:tcPr>
          <w:p w:rsidR="005E5F2C" w:rsidRPr="002B7115" w:rsidRDefault="005E5F2C" w:rsidP="00635020">
            <w:pPr>
              <w:rPr>
                <w:rFonts w:ascii="Calibri" w:hAnsi="Calibri"/>
                <w:color w:val="000000"/>
                <w:lang w:val="es-MX" w:eastAsia="es-MX"/>
              </w:rPr>
            </w:pPr>
          </w:p>
        </w:tc>
        <w:tc>
          <w:tcPr>
            <w:tcW w:w="160" w:type="dxa"/>
            <w:shd w:val="clear" w:color="auto" w:fill="auto"/>
            <w:noWrap/>
            <w:vAlign w:val="bottom"/>
            <w:hideMark/>
          </w:tcPr>
          <w:p w:rsidR="005E5F2C" w:rsidRPr="002B7115" w:rsidRDefault="005E5F2C" w:rsidP="00635020">
            <w:pPr>
              <w:rPr>
                <w:rFonts w:ascii="Calibri" w:hAnsi="Calibri"/>
                <w:color w:val="000000"/>
                <w:lang w:val="es-MX" w:eastAsia="es-MX"/>
              </w:rPr>
            </w:pPr>
          </w:p>
        </w:tc>
        <w:tc>
          <w:tcPr>
            <w:tcW w:w="2716" w:type="dxa"/>
            <w:shd w:val="clear" w:color="auto" w:fill="auto"/>
            <w:noWrap/>
            <w:vAlign w:val="bottom"/>
            <w:hideMark/>
          </w:tcPr>
          <w:p w:rsidR="005E5F2C" w:rsidRPr="002B7115" w:rsidRDefault="005E5F2C" w:rsidP="00635020">
            <w:pPr>
              <w:rPr>
                <w:rFonts w:ascii="Calibri" w:hAnsi="Calibri"/>
                <w:color w:val="000000"/>
                <w:lang w:val="es-MX" w:eastAsia="es-MX"/>
              </w:rPr>
            </w:pPr>
          </w:p>
        </w:tc>
      </w:tr>
      <w:tr w:rsidR="00635020" w:rsidRPr="002B7115" w:rsidTr="00C236B7">
        <w:trPr>
          <w:trHeight w:val="300"/>
        </w:trPr>
        <w:tc>
          <w:tcPr>
            <w:tcW w:w="6820" w:type="dxa"/>
            <w:gridSpan w:val="2"/>
            <w:shd w:val="clear" w:color="auto" w:fill="auto"/>
            <w:noWrap/>
            <w:vAlign w:val="bottom"/>
            <w:hideMark/>
          </w:tcPr>
          <w:p w:rsidR="00635020" w:rsidRPr="002B7115" w:rsidRDefault="00635020" w:rsidP="00635020">
            <w:pPr>
              <w:rPr>
                <w:rFonts w:ascii="Calibri" w:hAnsi="Calibri"/>
                <w:b/>
                <w:bCs/>
                <w:color w:val="000000"/>
                <w:lang w:val="es-MX" w:eastAsia="es-MX"/>
              </w:rPr>
            </w:pPr>
            <w:r w:rsidRPr="002B7115">
              <w:rPr>
                <w:rFonts w:ascii="Calibri" w:hAnsi="Calibri"/>
                <w:b/>
                <w:bCs/>
                <w:color w:val="000000"/>
                <w:sz w:val="22"/>
                <w:szCs w:val="22"/>
                <w:lang w:val="es-MX" w:eastAsia="es-MX"/>
              </w:rPr>
              <w:t>Créditos fiscales por concepto de uso de frecuencias de Radio</w:t>
            </w:r>
          </w:p>
        </w:tc>
        <w:tc>
          <w:tcPr>
            <w:tcW w:w="160"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2716" w:type="dxa"/>
            <w:shd w:val="clear" w:color="auto" w:fill="auto"/>
            <w:noWrap/>
            <w:vAlign w:val="bottom"/>
            <w:hideMark/>
          </w:tcPr>
          <w:p w:rsidR="00635020" w:rsidRPr="002B7115" w:rsidRDefault="00BB2B9A" w:rsidP="00C236B7">
            <w:pPr>
              <w:jc w:val="right"/>
              <w:rPr>
                <w:rFonts w:ascii="Calibri" w:hAnsi="Calibri"/>
                <w:color w:val="000000"/>
                <w:lang w:val="es-MX" w:eastAsia="es-MX"/>
              </w:rPr>
            </w:pPr>
            <w:r>
              <w:rPr>
                <w:rFonts w:ascii="Calibri" w:hAnsi="Calibri"/>
                <w:color w:val="000000"/>
                <w:sz w:val="22"/>
                <w:szCs w:val="22"/>
                <w:lang w:val="es-MX" w:eastAsia="es-MX"/>
              </w:rPr>
              <w:t>16,579,804</w:t>
            </w:r>
            <w:r w:rsidR="002B7115" w:rsidRPr="002B7115">
              <w:rPr>
                <w:rFonts w:ascii="Calibri" w:hAnsi="Calibri"/>
                <w:color w:val="000000"/>
                <w:sz w:val="22"/>
                <w:szCs w:val="22"/>
                <w:lang w:val="es-MX" w:eastAsia="es-MX"/>
              </w:rPr>
              <w:t>.00</w:t>
            </w:r>
          </w:p>
        </w:tc>
      </w:tr>
      <w:tr w:rsidR="00635020" w:rsidRPr="002B7115" w:rsidTr="00C236B7">
        <w:trPr>
          <w:trHeight w:val="300"/>
        </w:trPr>
        <w:tc>
          <w:tcPr>
            <w:tcW w:w="5612" w:type="dxa"/>
            <w:shd w:val="clear" w:color="auto" w:fill="auto"/>
            <w:noWrap/>
            <w:vAlign w:val="bottom"/>
            <w:hideMark/>
          </w:tcPr>
          <w:p w:rsidR="00635020" w:rsidRPr="002B7115" w:rsidRDefault="00635020" w:rsidP="00635020">
            <w:pPr>
              <w:rPr>
                <w:rFonts w:ascii="Calibri" w:hAnsi="Calibri"/>
                <w:b/>
                <w:bCs/>
                <w:color w:val="000000"/>
                <w:lang w:val="es-MX" w:eastAsia="es-MX"/>
              </w:rPr>
            </w:pPr>
            <w:r w:rsidRPr="002B7115">
              <w:rPr>
                <w:rFonts w:ascii="Calibri" w:hAnsi="Calibri"/>
                <w:b/>
                <w:bCs/>
                <w:color w:val="000000"/>
                <w:sz w:val="22"/>
                <w:szCs w:val="22"/>
                <w:lang w:val="es-MX" w:eastAsia="es-MX"/>
              </w:rPr>
              <w:t>Demanda laboral</w:t>
            </w: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60"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2716" w:type="dxa"/>
            <w:shd w:val="clear" w:color="auto" w:fill="auto"/>
            <w:noWrap/>
            <w:vAlign w:val="bottom"/>
            <w:hideMark/>
          </w:tcPr>
          <w:p w:rsidR="00635020" w:rsidRPr="002B7115" w:rsidRDefault="00BB2B9A" w:rsidP="00C236B7">
            <w:pPr>
              <w:jc w:val="right"/>
              <w:rPr>
                <w:rFonts w:ascii="Calibri" w:hAnsi="Calibri"/>
                <w:color w:val="000000"/>
                <w:lang w:val="es-MX" w:eastAsia="es-MX"/>
              </w:rPr>
            </w:pPr>
            <w:r>
              <w:rPr>
                <w:rFonts w:ascii="Calibri" w:hAnsi="Calibri"/>
                <w:color w:val="000000"/>
                <w:sz w:val="22"/>
                <w:szCs w:val="22"/>
                <w:lang w:val="es-MX" w:eastAsia="es-MX"/>
              </w:rPr>
              <w:t>3,517,773.0</w:t>
            </w:r>
            <w:r w:rsidR="00DA66DF" w:rsidRPr="002B7115">
              <w:rPr>
                <w:rFonts w:ascii="Calibri" w:hAnsi="Calibri"/>
                <w:color w:val="000000"/>
                <w:sz w:val="22"/>
                <w:szCs w:val="22"/>
                <w:lang w:val="es-MX" w:eastAsia="es-MX"/>
              </w:rPr>
              <w:t>0</w:t>
            </w:r>
          </w:p>
        </w:tc>
      </w:tr>
    </w:tbl>
    <w:p w:rsidR="00635020" w:rsidRPr="002B7115" w:rsidRDefault="00635020" w:rsidP="00DF4E09">
      <w:pPr>
        <w:jc w:val="both"/>
        <w:rPr>
          <w:rFonts w:ascii="Arial" w:hAnsi="Arial" w:cs="Arial"/>
          <w:sz w:val="20"/>
          <w:szCs w:val="20"/>
        </w:rPr>
      </w:pPr>
    </w:p>
    <w:p w:rsidR="00DF4E09" w:rsidRPr="002B7115" w:rsidRDefault="00DF4E09" w:rsidP="00027034">
      <w:pPr>
        <w:pStyle w:val="Prrafodelista"/>
        <w:numPr>
          <w:ilvl w:val="0"/>
          <w:numId w:val="24"/>
        </w:numPr>
        <w:spacing w:after="0"/>
        <w:rPr>
          <w:rFonts w:ascii="Arial" w:hAnsi="Arial" w:cs="Arial"/>
          <w:b/>
          <w:sz w:val="20"/>
          <w:szCs w:val="20"/>
          <w:u w:val="single"/>
          <w:lang w:val="es-ES"/>
        </w:rPr>
      </w:pPr>
      <w:r w:rsidRPr="002B7115">
        <w:rPr>
          <w:rFonts w:ascii="Arial" w:hAnsi="Arial" w:cs="Arial"/>
          <w:b/>
          <w:sz w:val="20"/>
          <w:szCs w:val="20"/>
          <w:u w:val="single"/>
          <w:lang w:val="es-ES"/>
        </w:rPr>
        <w:t>Notas al Estado de Actividades</w:t>
      </w:r>
    </w:p>
    <w:p w:rsidR="00DF4E09" w:rsidRPr="002B7115" w:rsidRDefault="00DF4E09" w:rsidP="00DF4E09">
      <w:pPr>
        <w:jc w:val="both"/>
        <w:rPr>
          <w:rFonts w:ascii="Arial" w:hAnsi="Arial" w:cs="Arial"/>
          <w:sz w:val="20"/>
          <w:szCs w:val="20"/>
        </w:rPr>
      </w:pPr>
    </w:p>
    <w:p w:rsidR="00DF4E09" w:rsidRPr="00DF4E09" w:rsidRDefault="00635020" w:rsidP="00DF4E09">
      <w:pPr>
        <w:rPr>
          <w:rFonts w:ascii="Arial" w:hAnsi="Arial" w:cs="Arial"/>
          <w:b/>
          <w:bCs/>
          <w:sz w:val="20"/>
          <w:szCs w:val="20"/>
        </w:rPr>
      </w:pPr>
      <w:r w:rsidRPr="002B7115">
        <w:rPr>
          <w:rFonts w:ascii="Arial" w:hAnsi="Arial" w:cs="Arial"/>
          <w:b/>
          <w:bCs/>
          <w:sz w:val="20"/>
          <w:szCs w:val="20"/>
        </w:rPr>
        <w:t xml:space="preserve">Nota 6.- </w:t>
      </w:r>
      <w:r w:rsidR="00DF4E09" w:rsidRPr="002B7115">
        <w:rPr>
          <w:rFonts w:ascii="Arial" w:hAnsi="Arial" w:cs="Arial"/>
          <w:b/>
          <w:bCs/>
          <w:sz w:val="20"/>
          <w:szCs w:val="20"/>
        </w:rPr>
        <w:t>Ingresos de Gestión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ingresos del organismo se integran de la siguiente manera:</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Ingresos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3965BF">
        <w:tc>
          <w:tcPr>
            <w:tcW w:w="6912"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por venta de bienes y servicios</w:t>
            </w:r>
          </w:p>
        </w:tc>
        <w:tc>
          <w:tcPr>
            <w:tcW w:w="2066" w:type="dxa"/>
          </w:tcPr>
          <w:p w:rsidR="00DF4E09" w:rsidRPr="00DF4E09" w:rsidRDefault="008916EB" w:rsidP="003965BF">
            <w:pPr>
              <w:jc w:val="right"/>
              <w:rPr>
                <w:rFonts w:ascii="Arial" w:hAnsi="Arial" w:cs="Arial"/>
                <w:sz w:val="20"/>
                <w:szCs w:val="20"/>
                <w:lang w:val="es-ES"/>
              </w:rPr>
            </w:pPr>
            <w:r>
              <w:rPr>
                <w:rFonts w:ascii="Arial" w:hAnsi="Arial" w:cs="Arial"/>
                <w:sz w:val="20"/>
                <w:szCs w:val="20"/>
                <w:lang w:val="es-ES"/>
              </w:rPr>
              <w:t>1</w:t>
            </w:r>
            <w:r w:rsidR="00BB2B9A">
              <w:rPr>
                <w:rFonts w:ascii="Arial" w:hAnsi="Arial" w:cs="Arial"/>
                <w:sz w:val="20"/>
                <w:szCs w:val="20"/>
                <w:lang w:val="es-ES"/>
              </w:rPr>
              <w:t>,638,833</w:t>
            </w:r>
          </w:p>
        </w:tc>
      </w:tr>
      <w:tr w:rsidR="00DF4E09" w:rsidRPr="00DF4E09" w:rsidTr="003965BF">
        <w:tc>
          <w:tcPr>
            <w:tcW w:w="6912" w:type="dxa"/>
            <w:tcBorders>
              <w:bottom w:val="single" w:sz="4" w:space="0" w:color="auto"/>
            </w:tcBorders>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Transferencias, asignaciones, subsidios  y otras ayudas</w:t>
            </w:r>
          </w:p>
        </w:tc>
        <w:tc>
          <w:tcPr>
            <w:tcW w:w="2066" w:type="dxa"/>
            <w:tcBorders>
              <w:bottom w:val="single" w:sz="4" w:space="0" w:color="auto"/>
            </w:tcBorders>
          </w:tcPr>
          <w:p w:rsidR="00DF4E09" w:rsidRPr="00DF4E09" w:rsidRDefault="00BB2B9A" w:rsidP="003965BF">
            <w:pPr>
              <w:jc w:val="right"/>
              <w:rPr>
                <w:rFonts w:ascii="Arial" w:hAnsi="Arial" w:cs="Arial"/>
                <w:sz w:val="20"/>
                <w:szCs w:val="20"/>
                <w:lang w:val="es-ES"/>
              </w:rPr>
            </w:pPr>
            <w:r>
              <w:rPr>
                <w:rFonts w:ascii="Arial" w:hAnsi="Arial" w:cs="Arial"/>
                <w:sz w:val="20"/>
                <w:szCs w:val="20"/>
                <w:lang w:val="es-ES"/>
              </w:rPr>
              <w:t>2,440,667</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jc w:val="both"/>
              <w:rPr>
                <w:rFonts w:ascii="Arial" w:hAnsi="Arial" w:cs="Arial"/>
                <w:sz w:val="20"/>
                <w:szCs w:val="20"/>
                <w:lang w:val="es-ES"/>
              </w:rPr>
            </w:pPr>
          </w:p>
        </w:tc>
        <w:tc>
          <w:tcPr>
            <w:tcW w:w="2066" w:type="dxa"/>
            <w:tcBorders>
              <w:left w:val="single" w:sz="4" w:space="0" w:color="auto"/>
            </w:tcBorders>
          </w:tcPr>
          <w:p w:rsidR="00DF4E09" w:rsidRPr="00DF4E09" w:rsidRDefault="00BB2B9A" w:rsidP="00BB2B9A">
            <w:pPr>
              <w:jc w:val="center"/>
              <w:rPr>
                <w:rFonts w:ascii="Arial" w:hAnsi="Arial" w:cs="Arial"/>
                <w:b/>
                <w:sz w:val="20"/>
                <w:szCs w:val="20"/>
                <w:lang w:val="es-ES"/>
              </w:rPr>
            </w:pPr>
            <w:r>
              <w:rPr>
                <w:rFonts w:ascii="Arial" w:hAnsi="Arial" w:cs="Arial"/>
                <w:b/>
                <w:sz w:val="20"/>
                <w:szCs w:val="20"/>
                <w:lang w:val="es-ES"/>
              </w:rPr>
              <w:t xml:space="preserve">            4,079,503.00</w:t>
            </w:r>
          </w:p>
        </w:tc>
      </w:tr>
    </w:tbl>
    <w:p w:rsidR="00DF4E09" w:rsidRDefault="00DF4E09" w:rsidP="00DF4E09">
      <w:pPr>
        <w:jc w:val="both"/>
        <w:rPr>
          <w:rFonts w:ascii="Arial" w:hAnsi="Arial" w:cs="Arial"/>
          <w:sz w:val="20"/>
          <w:szCs w:val="20"/>
        </w:rPr>
      </w:pPr>
      <w:r w:rsidRPr="00DF4E09">
        <w:rPr>
          <w:rFonts w:ascii="Arial" w:hAnsi="Arial" w:cs="Arial"/>
          <w:sz w:val="20"/>
          <w:szCs w:val="20"/>
        </w:rPr>
        <w:lastRenderedPageBreak/>
        <w:t>El importe plasmado en Ingresos por venta de bienes y servicios es importe devengado el cual no ha sido recaudado en su totalidad.</w:t>
      </w:r>
    </w:p>
    <w:p w:rsidR="008E4566" w:rsidRPr="00DF4E09" w:rsidRDefault="008E4566"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Otros Ingresos, se debe a intereses pagados en la cuenta utilizada para el pago de servicios personales</w:t>
      </w:r>
    </w:p>
    <w:p w:rsidR="002B7115" w:rsidRPr="00DF4E09" w:rsidRDefault="002B7115" w:rsidP="00DF4E09">
      <w:pPr>
        <w:jc w:val="both"/>
        <w:rPr>
          <w:rFonts w:ascii="Arial" w:hAnsi="Arial" w:cs="Arial"/>
          <w:sz w:val="20"/>
          <w:szCs w:val="20"/>
        </w:rPr>
      </w:pP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Otros Ingresos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3965BF">
        <w:tc>
          <w:tcPr>
            <w:tcW w:w="6912"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Financieros</w:t>
            </w:r>
          </w:p>
        </w:tc>
        <w:tc>
          <w:tcPr>
            <w:tcW w:w="2066" w:type="dxa"/>
          </w:tcPr>
          <w:p w:rsidR="00DF4E09" w:rsidRPr="00DF4E09" w:rsidRDefault="00BB2B9A" w:rsidP="002B7115">
            <w:pPr>
              <w:jc w:val="right"/>
              <w:rPr>
                <w:rFonts w:ascii="Arial" w:hAnsi="Arial" w:cs="Arial"/>
                <w:sz w:val="20"/>
                <w:szCs w:val="20"/>
                <w:lang w:val="es-ES"/>
              </w:rPr>
            </w:pPr>
            <w:r>
              <w:rPr>
                <w:rFonts w:ascii="Arial" w:hAnsi="Arial" w:cs="Arial"/>
                <w:sz w:val="20"/>
                <w:szCs w:val="20"/>
                <w:lang w:val="es-ES"/>
              </w:rPr>
              <w:t>2.61</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jc w:val="both"/>
              <w:rPr>
                <w:rFonts w:ascii="Arial" w:hAnsi="Arial" w:cs="Arial"/>
                <w:sz w:val="20"/>
                <w:szCs w:val="20"/>
                <w:lang w:val="es-ES"/>
              </w:rPr>
            </w:pPr>
          </w:p>
        </w:tc>
        <w:tc>
          <w:tcPr>
            <w:tcW w:w="2066" w:type="dxa"/>
            <w:tcBorders>
              <w:left w:val="single" w:sz="4" w:space="0" w:color="auto"/>
            </w:tcBorders>
          </w:tcPr>
          <w:p w:rsidR="00DF4E09" w:rsidRPr="00DF4E09" w:rsidRDefault="00BB2B9A" w:rsidP="002B7115">
            <w:pPr>
              <w:jc w:val="right"/>
              <w:rPr>
                <w:rFonts w:ascii="Arial" w:hAnsi="Arial" w:cs="Arial"/>
                <w:b/>
                <w:sz w:val="20"/>
                <w:szCs w:val="20"/>
                <w:lang w:val="es-ES"/>
              </w:rPr>
            </w:pPr>
            <w:r>
              <w:rPr>
                <w:rFonts w:ascii="Arial" w:hAnsi="Arial" w:cs="Arial"/>
                <w:b/>
                <w:sz w:val="20"/>
                <w:szCs w:val="20"/>
                <w:lang w:val="es-ES"/>
              </w:rPr>
              <w:t>2.61</w:t>
            </w:r>
          </w:p>
        </w:tc>
      </w:tr>
    </w:tbl>
    <w:p w:rsidR="00DF4E09" w:rsidRPr="00DF4E09" w:rsidRDefault="00DF4E09" w:rsidP="00DF4E09">
      <w:pPr>
        <w:rPr>
          <w:rFonts w:ascii="Arial" w:hAnsi="Arial" w:cs="Arial"/>
          <w:sz w:val="20"/>
          <w:szCs w:val="20"/>
        </w:rPr>
      </w:pPr>
    </w:p>
    <w:p w:rsidR="00DF4E09" w:rsidRPr="00DF4E09" w:rsidRDefault="00635020" w:rsidP="00DF4E09">
      <w:pPr>
        <w:rPr>
          <w:rFonts w:ascii="Arial" w:hAnsi="Arial" w:cs="Arial"/>
          <w:b/>
          <w:bCs/>
          <w:sz w:val="20"/>
          <w:szCs w:val="20"/>
        </w:rPr>
      </w:pPr>
      <w:r>
        <w:rPr>
          <w:rFonts w:ascii="Arial" w:hAnsi="Arial" w:cs="Arial"/>
          <w:b/>
          <w:bCs/>
          <w:sz w:val="20"/>
          <w:szCs w:val="20"/>
        </w:rPr>
        <w:t xml:space="preserve">Nota 7.- </w:t>
      </w:r>
      <w:r w:rsidR="00DF4E09" w:rsidRPr="00DF4E09">
        <w:rPr>
          <w:rFonts w:ascii="Arial" w:hAnsi="Arial" w:cs="Arial"/>
          <w:b/>
          <w:bCs/>
          <w:sz w:val="20"/>
          <w:szCs w:val="20"/>
        </w:rPr>
        <w:t>Gastos y Otras pérdidas</w:t>
      </w:r>
    </w:p>
    <w:p w:rsidR="00635020" w:rsidRDefault="00635020"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Las cuentas de Servicios Personales se integra por los pagos efectuados al personal del organismo en la nomina del estado y de recursos propios, pagos  efectuados por medio de la Subsecretaria de Recursos Humanos del Gobierno del Estado.  El importe correspondiente a Servicios Generales, en su mayoría se debe al pago de servicios básicos, pago de servicio telefónico, energía eléctrica, etc.</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Gastos y Otras Pérdidas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3965BF">
        <w:tc>
          <w:tcPr>
            <w:tcW w:w="6912" w:type="dxa"/>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Servicios personales</w:t>
            </w:r>
          </w:p>
        </w:tc>
        <w:tc>
          <w:tcPr>
            <w:tcW w:w="2066" w:type="dxa"/>
          </w:tcPr>
          <w:p w:rsidR="00DF4E09" w:rsidRPr="00DF4E09" w:rsidRDefault="00C602AD" w:rsidP="003965BF">
            <w:pPr>
              <w:jc w:val="right"/>
              <w:rPr>
                <w:rFonts w:ascii="Arial" w:hAnsi="Arial" w:cs="Arial"/>
                <w:sz w:val="20"/>
                <w:szCs w:val="20"/>
                <w:lang w:val="es-ES"/>
              </w:rPr>
            </w:pPr>
            <w:r>
              <w:rPr>
                <w:rFonts w:ascii="Arial" w:hAnsi="Arial" w:cs="Arial"/>
                <w:sz w:val="20"/>
                <w:szCs w:val="20"/>
                <w:lang w:val="es-ES"/>
              </w:rPr>
              <w:t>2,823,920</w:t>
            </w:r>
          </w:p>
        </w:tc>
      </w:tr>
      <w:tr w:rsidR="00DF4E09" w:rsidRPr="00DF4E09" w:rsidTr="003965BF">
        <w:tc>
          <w:tcPr>
            <w:tcW w:w="6912" w:type="dxa"/>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Materiales y Suministros</w:t>
            </w:r>
          </w:p>
        </w:tc>
        <w:tc>
          <w:tcPr>
            <w:tcW w:w="2066" w:type="dxa"/>
          </w:tcPr>
          <w:p w:rsidR="00DF4E09" w:rsidRPr="00DF4E09" w:rsidRDefault="00BB2B9A" w:rsidP="003965BF">
            <w:pPr>
              <w:jc w:val="right"/>
              <w:rPr>
                <w:rFonts w:ascii="Arial" w:hAnsi="Arial" w:cs="Arial"/>
                <w:sz w:val="20"/>
                <w:szCs w:val="20"/>
                <w:lang w:val="es-ES"/>
              </w:rPr>
            </w:pPr>
            <w:r>
              <w:rPr>
                <w:rFonts w:ascii="Arial" w:hAnsi="Arial" w:cs="Arial"/>
                <w:sz w:val="20"/>
                <w:szCs w:val="20"/>
                <w:lang w:val="es-ES"/>
              </w:rPr>
              <w:t>445,5</w:t>
            </w:r>
            <w:r w:rsidR="00C602AD">
              <w:rPr>
                <w:rFonts w:ascii="Arial" w:hAnsi="Arial" w:cs="Arial"/>
                <w:sz w:val="20"/>
                <w:szCs w:val="20"/>
                <w:lang w:val="es-ES"/>
              </w:rPr>
              <w:t>3</w:t>
            </w:r>
            <w:r>
              <w:rPr>
                <w:rFonts w:ascii="Arial" w:hAnsi="Arial" w:cs="Arial"/>
                <w:sz w:val="20"/>
                <w:szCs w:val="20"/>
                <w:lang w:val="es-ES"/>
              </w:rPr>
              <w:t>2</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Servicios Generales</w:t>
            </w:r>
          </w:p>
        </w:tc>
        <w:tc>
          <w:tcPr>
            <w:tcW w:w="2066" w:type="dxa"/>
          </w:tcPr>
          <w:p w:rsidR="00DF4E09" w:rsidRPr="00DF4E09" w:rsidRDefault="00BB2B9A" w:rsidP="00FE421B">
            <w:pPr>
              <w:jc w:val="right"/>
              <w:rPr>
                <w:rFonts w:ascii="Arial" w:hAnsi="Arial" w:cs="Arial"/>
                <w:sz w:val="20"/>
                <w:szCs w:val="20"/>
                <w:lang w:val="es-ES"/>
              </w:rPr>
            </w:pPr>
            <w:r>
              <w:rPr>
                <w:rFonts w:ascii="Arial" w:hAnsi="Arial" w:cs="Arial"/>
                <w:sz w:val="20"/>
                <w:szCs w:val="20"/>
                <w:lang w:val="es-ES"/>
              </w:rPr>
              <w:t>914,</w:t>
            </w:r>
            <w:r w:rsidR="00C602AD">
              <w:rPr>
                <w:rFonts w:ascii="Arial" w:hAnsi="Arial" w:cs="Arial"/>
                <w:sz w:val="20"/>
                <w:szCs w:val="20"/>
                <w:lang w:val="es-ES"/>
              </w:rPr>
              <w:t>5</w:t>
            </w:r>
            <w:r>
              <w:rPr>
                <w:rFonts w:ascii="Arial" w:hAnsi="Arial" w:cs="Arial"/>
                <w:sz w:val="20"/>
                <w:szCs w:val="20"/>
                <w:lang w:val="es-ES"/>
              </w:rPr>
              <w:t>15</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rPr>
                <w:rFonts w:ascii="Arial" w:hAnsi="Arial" w:cs="Arial"/>
                <w:sz w:val="20"/>
                <w:szCs w:val="20"/>
                <w:lang w:val="es-ES"/>
              </w:rPr>
            </w:pPr>
          </w:p>
        </w:tc>
        <w:tc>
          <w:tcPr>
            <w:tcW w:w="2066" w:type="dxa"/>
            <w:tcBorders>
              <w:left w:val="single" w:sz="4" w:space="0" w:color="auto"/>
            </w:tcBorders>
          </w:tcPr>
          <w:p w:rsidR="00DF4E09" w:rsidRPr="00DF4E09" w:rsidRDefault="00C602AD" w:rsidP="003965BF">
            <w:pPr>
              <w:jc w:val="right"/>
              <w:rPr>
                <w:rFonts w:ascii="Arial" w:hAnsi="Arial" w:cs="Arial"/>
                <w:b/>
                <w:sz w:val="20"/>
                <w:szCs w:val="20"/>
                <w:lang w:val="es-ES"/>
              </w:rPr>
            </w:pPr>
            <w:r>
              <w:rPr>
                <w:rFonts w:ascii="Arial" w:hAnsi="Arial" w:cs="Arial"/>
                <w:b/>
                <w:sz w:val="20"/>
                <w:szCs w:val="20"/>
                <w:lang w:val="es-ES"/>
              </w:rPr>
              <w:t>4,183,967</w:t>
            </w:r>
          </w:p>
        </w:tc>
      </w:tr>
    </w:tbl>
    <w:p w:rsidR="00DF4E09" w:rsidRPr="003871C7" w:rsidRDefault="003871C7" w:rsidP="00DF4E09">
      <w:pPr>
        <w:rPr>
          <w:rFonts w:ascii="Arial" w:hAnsi="Arial" w:cs="Arial"/>
          <w:b/>
          <w:sz w:val="20"/>
          <w:szCs w:val="20"/>
          <w:u w:val="single"/>
        </w:rPr>
      </w:pPr>
      <w:r w:rsidRPr="003871C7">
        <w:rPr>
          <w:rFonts w:ascii="Arial" w:hAnsi="Arial" w:cs="Arial"/>
          <w:b/>
          <w:sz w:val="20"/>
          <w:szCs w:val="20"/>
          <w:u w:val="single"/>
        </w:rPr>
        <w:t>Otros gastos y pérdidas extraordinarias</w:t>
      </w:r>
    </w:p>
    <w:p w:rsidR="003871C7" w:rsidRDefault="003871C7" w:rsidP="00DF4E09">
      <w:pPr>
        <w:rPr>
          <w:rFonts w:ascii="Arial" w:hAnsi="Arial" w:cs="Arial"/>
          <w:sz w:val="20"/>
          <w:szCs w:val="20"/>
        </w:rPr>
      </w:pPr>
    </w:p>
    <w:p w:rsidR="003871C7" w:rsidRDefault="003871C7" w:rsidP="00DF4E09">
      <w:pPr>
        <w:rPr>
          <w:rFonts w:ascii="Arial" w:hAnsi="Arial" w:cs="Arial"/>
          <w:sz w:val="20"/>
          <w:szCs w:val="20"/>
        </w:rPr>
      </w:pPr>
      <w:r>
        <w:rPr>
          <w:rFonts w:ascii="Arial" w:hAnsi="Arial" w:cs="Arial"/>
          <w:sz w:val="20"/>
          <w:szCs w:val="20"/>
        </w:rPr>
        <w:t>Estimaciones, depreciaciones, deterioros, obsole</w:t>
      </w:r>
      <w:r w:rsidR="009938A1">
        <w:rPr>
          <w:rFonts w:ascii="Arial" w:hAnsi="Arial" w:cs="Arial"/>
          <w:sz w:val="20"/>
          <w:szCs w:val="20"/>
        </w:rPr>
        <w:t>s</w:t>
      </w:r>
      <w:r>
        <w:rPr>
          <w:rFonts w:ascii="Arial" w:hAnsi="Arial" w:cs="Arial"/>
          <w:sz w:val="20"/>
          <w:szCs w:val="20"/>
        </w:rPr>
        <w:t>cencia:</w:t>
      </w:r>
    </w:p>
    <w:p w:rsidR="003871C7" w:rsidRDefault="003871C7" w:rsidP="00DF4E09">
      <w:pPr>
        <w:rPr>
          <w:rFonts w:ascii="Arial" w:hAnsi="Arial" w:cs="Arial"/>
          <w:sz w:val="20"/>
          <w:szCs w:val="20"/>
        </w:rPr>
      </w:pPr>
    </w:p>
    <w:p w:rsidR="003871C7" w:rsidRPr="00DF4E09" w:rsidRDefault="003871C7" w:rsidP="00DF4E09">
      <w:pPr>
        <w:rPr>
          <w:rFonts w:ascii="Arial" w:hAnsi="Arial" w:cs="Arial"/>
          <w:sz w:val="20"/>
          <w:szCs w:val="20"/>
        </w:rPr>
      </w:pPr>
      <w:r>
        <w:rPr>
          <w:rFonts w:ascii="Arial" w:hAnsi="Arial" w:cs="Arial"/>
          <w:sz w:val="20"/>
          <w:szCs w:val="20"/>
        </w:rPr>
        <w:t>Se tiene regist</w:t>
      </w:r>
      <w:r w:rsidR="00C602AD">
        <w:rPr>
          <w:rFonts w:ascii="Arial" w:hAnsi="Arial" w:cs="Arial"/>
          <w:sz w:val="20"/>
          <w:szCs w:val="20"/>
        </w:rPr>
        <w:t>rado al 30 de septiembre de 2016 la cantidad de $ 172,807.42</w:t>
      </w:r>
      <w:r>
        <w:rPr>
          <w:rFonts w:ascii="Arial" w:hAnsi="Arial" w:cs="Arial"/>
          <w:sz w:val="20"/>
          <w:szCs w:val="20"/>
        </w:rPr>
        <w:t xml:space="preserve"> por concepto de depreciación de los bienes muebles e inmuebles</w:t>
      </w:r>
      <w:r w:rsidR="008C7967">
        <w:rPr>
          <w:rFonts w:ascii="Arial" w:hAnsi="Arial" w:cs="Arial"/>
          <w:sz w:val="20"/>
          <w:szCs w:val="20"/>
        </w:rPr>
        <w:t xml:space="preserve"> de la Entidad.</w:t>
      </w:r>
    </w:p>
    <w:p w:rsidR="00DF4E09" w:rsidRPr="00DF4E09" w:rsidRDefault="00DF4E09" w:rsidP="00DF4E09">
      <w:pPr>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Variación en la Hacienda Pública</w:t>
      </w:r>
    </w:p>
    <w:p w:rsidR="002C7A02" w:rsidRPr="00C602AD" w:rsidRDefault="008E4566" w:rsidP="002C7A02">
      <w:pPr>
        <w:rPr>
          <w:rFonts w:ascii="Arial" w:hAnsi="Arial" w:cs="Arial"/>
          <w:sz w:val="20"/>
          <w:szCs w:val="20"/>
        </w:rPr>
      </w:pPr>
      <w:r>
        <w:rPr>
          <w:rFonts w:ascii="Arial" w:hAnsi="Arial" w:cs="Arial"/>
          <w:sz w:val="20"/>
          <w:szCs w:val="20"/>
        </w:rPr>
        <w:t>.</w:t>
      </w:r>
    </w:p>
    <w:p w:rsidR="00DF4E09" w:rsidRDefault="002C7A02" w:rsidP="002C7A02">
      <w:pPr>
        <w:rPr>
          <w:rFonts w:ascii="Arial" w:hAnsi="Arial" w:cs="Arial"/>
          <w:b/>
          <w:sz w:val="20"/>
          <w:szCs w:val="20"/>
        </w:rPr>
      </w:pPr>
      <w:r w:rsidRPr="002C7A02">
        <w:rPr>
          <w:rFonts w:ascii="Arial" w:hAnsi="Arial" w:cs="Arial"/>
          <w:b/>
          <w:sz w:val="20"/>
          <w:szCs w:val="20"/>
        </w:rPr>
        <w:t xml:space="preserve">Nota 8.- </w:t>
      </w:r>
      <w:r w:rsidR="00DF4E09" w:rsidRPr="002C7A02">
        <w:rPr>
          <w:rFonts w:ascii="Arial" w:hAnsi="Arial" w:cs="Arial"/>
          <w:b/>
          <w:sz w:val="20"/>
          <w:szCs w:val="20"/>
        </w:rPr>
        <w:t>Modificaciones al patrimonio</w:t>
      </w:r>
    </w:p>
    <w:p w:rsidR="002C7A02" w:rsidRPr="002C7A02" w:rsidRDefault="002C7A02" w:rsidP="002C7A02">
      <w:pPr>
        <w:rPr>
          <w:rFonts w:ascii="Arial" w:hAnsi="Arial" w:cs="Arial"/>
          <w:b/>
          <w:sz w:val="20"/>
          <w:szCs w:val="20"/>
        </w:rPr>
      </w:pPr>
    </w:p>
    <w:tbl>
      <w:tblPr>
        <w:tblStyle w:val="Tablaconcuadrcula"/>
        <w:tblW w:w="0" w:type="auto"/>
        <w:tblInd w:w="360" w:type="dxa"/>
        <w:tblLook w:val="04A0"/>
      </w:tblPr>
      <w:tblGrid>
        <w:gridCol w:w="4710"/>
        <w:gridCol w:w="2126"/>
      </w:tblGrid>
      <w:tr w:rsidR="00DF4E09" w:rsidRPr="00DF4E09" w:rsidTr="003965BF">
        <w:tc>
          <w:tcPr>
            <w:tcW w:w="4710" w:type="dxa"/>
          </w:tcPr>
          <w:p w:rsidR="00DF4E09" w:rsidRPr="00DF4E09" w:rsidRDefault="00DF4E09" w:rsidP="00825CD0">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4to. Trimestre </w:t>
            </w:r>
            <w:r w:rsidRPr="00DF4E09">
              <w:rPr>
                <w:rFonts w:ascii="Arial" w:hAnsi="Arial" w:cs="Arial"/>
                <w:sz w:val="20"/>
                <w:szCs w:val="20"/>
                <w:lang w:val="es-ES"/>
              </w:rPr>
              <w:t>201</w:t>
            </w:r>
            <w:r w:rsidR="008C7967">
              <w:rPr>
                <w:rFonts w:ascii="Arial" w:hAnsi="Arial" w:cs="Arial"/>
                <w:sz w:val="20"/>
                <w:szCs w:val="20"/>
                <w:lang w:val="es-ES"/>
              </w:rPr>
              <w:t>5</w:t>
            </w:r>
          </w:p>
        </w:tc>
        <w:tc>
          <w:tcPr>
            <w:tcW w:w="2126" w:type="dxa"/>
          </w:tcPr>
          <w:p w:rsidR="00DF4E09" w:rsidRPr="00DF4E09" w:rsidRDefault="008C7967" w:rsidP="00825CD0">
            <w:pPr>
              <w:jc w:val="right"/>
              <w:rPr>
                <w:rFonts w:ascii="Arial" w:hAnsi="Arial" w:cs="Arial"/>
                <w:sz w:val="20"/>
                <w:szCs w:val="20"/>
                <w:lang w:val="es-ES"/>
              </w:rPr>
            </w:pPr>
            <w:r>
              <w:rPr>
                <w:rFonts w:ascii="Arial" w:hAnsi="Arial" w:cs="Arial"/>
                <w:sz w:val="20"/>
                <w:szCs w:val="20"/>
                <w:lang w:val="es-ES"/>
              </w:rPr>
              <w:t>5,061,939.20</w:t>
            </w:r>
          </w:p>
        </w:tc>
      </w:tr>
      <w:tr w:rsidR="00C602AD" w:rsidRPr="00DF4E09" w:rsidTr="003965BF">
        <w:tc>
          <w:tcPr>
            <w:tcW w:w="4710" w:type="dxa"/>
          </w:tcPr>
          <w:p w:rsidR="00C602AD" w:rsidRDefault="00C602AD" w:rsidP="00825CD0">
            <w:pPr>
              <w:rPr>
                <w:rFonts w:ascii="Arial" w:hAnsi="Arial" w:cs="Arial"/>
                <w:sz w:val="20"/>
                <w:szCs w:val="20"/>
              </w:rPr>
            </w:pPr>
            <w:r>
              <w:rPr>
                <w:rFonts w:ascii="Arial" w:hAnsi="Arial" w:cs="Arial"/>
                <w:sz w:val="20"/>
                <w:szCs w:val="20"/>
              </w:rPr>
              <w:t xml:space="preserve">Disminución </w:t>
            </w:r>
          </w:p>
        </w:tc>
        <w:tc>
          <w:tcPr>
            <w:tcW w:w="2126" w:type="dxa"/>
          </w:tcPr>
          <w:p w:rsidR="00C602AD" w:rsidRDefault="00C602AD" w:rsidP="00825CD0">
            <w:pPr>
              <w:jc w:val="right"/>
              <w:rPr>
                <w:rFonts w:ascii="Arial" w:hAnsi="Arial" w:cs="Arial"/>
                <w:sz w:val="20"/>
                <w:szCs w:val="20"/>
              </w:rPr>
            </w:pPr>
            <w:r>
              <w:rPr>
                <w:rFonts w:ascii="Arial" w:hAnsi="Arial" w:cs="Arial"/>
                <w:sz w:val="20"/>
                <w:szCs w:val="20"/>
              </w:rPr>
              <w:t>-1388,586</w:t>
            </w:r>
          </w:p>
        </w:tc>
      </w:tr>
      <w:tr w:rsidR="00825CD0" w:rsidRPr="00DF4E09" w:rsidTr="003965BF">
        <w:tc>
          <w:tcPr>
            <w:tcW w:w="4710" w:type="dxa"/>
          </w:tcPr>
          <w:p w:rsidR="00825CD0" w:rsidRPr="00DF4E09" w:rsidRDefault="008C7967" w:rsidP="00825CD0">
            <w:pPr>
              <w:rPr>
                <w:rFonts w:ascii="Arial" w:hAnsi="Arial" w:cs="Arial"/>
                <w:sz w:val="20"/>
                <w:szCs w:val="20"/>
              </w:rPr>
            </w:pPr>
            <w:r>
              <w:rPr>
                <w:rFonts w:ascii="Arial" w:hAnsi="Arial" w:cs="Arial"/>
                <w:sz w:val="20"/>
                <w:szCs w:val="20"/>
              </w:rPr>
              <w:t>Resu</w:t>
            </w:r>
            <w:r w:rsidR="00C602AD">
              <w:rPr>
                <w:rFonts w:ascii="Arial" w:hAnsi="Arial" w:cs="Arial"/>
                <w:sz w:val="20"/>
                <w:szCs w:val="20"/>
              </w:rPr>
              <w:t>ltado del Ejercicio (enero-septiembre</w:t>
            </w:r>
            <w:r>
              <w:rPr>
                <w:rFonts w:ascii="Arial" w:hAnsi="Arial" w:cs="Arial"/>
                <w:sz w:val="20"/>
                <w:szCs w:val="20"/>
              </w:rPr>
              <w:t>)</w:t>
            </w:r>
          </w:p>
        </w:tc>
        <w:tc>
          <w:tcPr>
            <w:tcW w:w="2126" w:type="dxa"/>
          </w:tcPr>
          <w:p w:rsidR="00825CD0" w:rsidRPr="00DF4E09" w:rsidRDefault="00C602AD" w:rsidP="00825CD0">
            <w:pPr>
              <w:jc w:val="right"/>
              <w:rPr>
                <w:rFonts w:ascii="Arial" w:hAnsi="Arial" w:cs="Arial"/>
                <w:sz w:val="20"/>
                <w:szCs w:val="20"/>
              </w:rPr>
            </w:pPr>
            <w:r>
              <w:rPr>
                <w:rFonts w:ascii="Arial" w:hAnsi="Arial" w:cs="Arial"/>
                <w:sz w:val="20"/>
                <w:szCs w:val="20"/>
              </w:rPr>
              <w:t>-277,272.54</w:t>
            </w:r>
          </w:p>
        </w:tc>
      </w:tr>
      <w:tr w:rsidR="00DF4E09" w:rsidRPr="00DF4E09" w:rsidTr="003965BF">
        <w:tc>
          <w:tcPr>
            <w:tcW w:w="4710" w:type="dxa"/>
          </w:tcPr>
          <w:p w:rsidR="00DF4E09" w:rsidRPr="008C7967" w:rsidRDefault="00DF4E09" w:rsidP="008C7967">
            <w:pPr>
              <w:rPr>
                <w:rFonts w:ascii="Arial" w:hAnsi="Arial" w:cs="Arial"/>
                <w:b/>
                <w:sz w:val="20"/>
                <w:szCs w:val="20"/>
                <w:lang w:val="es-ES"/>
              </w:rPr>
            </w:pPr>
            <w:r w:rsidRPr="008C7967">
              <w:rPr>
                <w:rFonts w:ascii="Arial" w:hAnsi="Arial" w:cs="Arial"/>
                <w:b/>
                <w:sz w:val="20"/>
                <w:szCs w:val="20"/>
                <w:lang w:val="es-ES"/>
              </w:rPr>
              <w:t xml:space="preserve">Patrimonio neto final </w:t>
            </w:r>
            <w:r w:rsidR="00C602AD">
              <w:rPr>
                <w:rFonts w:ascii="Arial" w:hAnsi="Arial" w:cs="Arial"/>
                <w:b/>
                <w:sz w:val="20"/>
                <w:szCs w:val="20"/>
                <w:lang w:val="es-ES"/>
              </w:rPr>
              <w:t xml:space="preserve"> 3</w:t>
            </w:r>
            <w:r w:rsidR="008C7967">
              <w:rPr>
                <w:rFonts w:ascii="Arial" w:hAnsi="Arial" w:cs="Arial"/>
                <w:b/>
                <w:sz w:val="20"/>
                <w:szCs w:val="20"/>
                <w:lang w:val="es-ES"/>
              </w:rPr>
              <w:t>er</w:t>
            </w:r>
            <w:r w:rsidR="00825CD0" w:rsidRPr="008C7967">
              <w:rPr>
                <w:rFonts w:ascii="Arial" w:hAnsi="Arial" w:cs="Arial"/>
                <w:b/>
                <w:sz w:val="20"/>
                <w:szCs w:val="20"/>
                <w:lang w:val="es-ES"/>
              </w:rPr>
              <w:t xml:space="preserve"> Trimestre </w:t>
            </w:r>
            <w:r w:rsidRPr="008C7967">
              <w:rPr>
                <w:rFonts w:ascii="Arial" w:hAnsi="Arial" w:cs="Arial"/>
                <w:b/>
                <w:sz w:val="20"/>
                <w:szCs w:val="20"/>
                <w:lang w:val="es-ES"/>
              </w:rPr>
              <w:t>201</w:t>
            </w:r>
            <w:r w:rsidR="008C7967">
              <w:rPr>
                <w:rFonts w:ascii="Arial" w:hAnsi="Arial" w:cs="Arial"/>
                <w:b/>
                <w:sz w:val="20"/>
                <w:szCs w:val="20"/>
                <w:lang w:val="es-ES"/>
              </w:rPr>
              <w:t>6</w:t>
            </w:r>
          </w:p>
        </w:tc>
        <w:tc>
          <w:tcPr>
            <w:tcW w:w="2126" w:type="dxa"/>
          </w:tcPr>
          <w:p w:rsidR="00DF4E09" w:rsidRPr="008C7967" w:rsidRDefault="00C602AD" w:rsidP="000F34AA">
            <w:pPr>
              <w:jc w:val="right"/>
              <w:rPr>
                <w:rFonts w:ascii="Arial" w:hAnsi="Arial" w:cs="Arial"/>
                <w:b/>
                <w:sz w:val="20"/>
                <w:szCs w:val="20"/>
                <w:lang w:val="es-ES"/>
              </w:rPr>
            </w:pPr>
            <w:r>
              <w:rPr>
                <w:rFonts w:ascii="Arial" w:hAnsi="Arial" w:cs="Arial"/>
                <w:b/>
                <w:sz w:val="20"/>
                <w:szCs w:val="20"/>
                <w:lang w:val="es-ES"/>
              </w:rPr>
              <w:t>3,396,080</w:t>
            </w:r>
          </w:p>
        </w:tc>
      </w:tr>
    </w:tbl>
    <w:p w:rsidR="00DF4E09" w:rsidRDefault="00DF4E09" w:rsidP="00DF4E09">
      <w:pPr>
        <w:ind w:left="360"/>
        <w:rPr>
          <w:rFonts w:ascii="Arial" w:hAnsi="Arial" w:cs="Arial"/>
          <w:sz w:val="20"/>
          <w:szCs w:val="20"/>
        </w:rPr>
      </w:pPr>
    </w:p>
    <w:p w:rsidR="008C7967" w:rsidRDefault="008C7967" w:rsidP="00DF4E09">
      <w:pPr>
        <w:ind w:left="360"/>
        <w:rPr>
          <w:rFonts w:ascii="Arial" w:hAnsi="Arial" w:cs="Arial"/>
          <w:sz w:val="20"/>
          <w:szCs w:val="20"/>
        </w:rPr>
      </w:pPr>
    </w:p>
    <w:p w:rsidR="008C7967" w:rsidRDefault="008C7967" w:rsidP="00DF4E09">
      <w:pPr>
        <w:ind w:left="360"/>
        <w:rPr>
          <w:rFonts w:ascii="Arial" w:hAnsi="Arial" w:cs="Arial"/>
          <w:sz w:val="20"/>
          <w:szCs w:val="20"/>
        </w:rPr>
      </w:pPr>
      <w:r>
        <w:rPr>
          <w:rFonts w:ascii="Arial" w:hAnsi="Arial" w:cs="Arial"/>
          <w:sz w:val="20"/>
          <w:szCs w:val="20"/>
        </w:rPr>
        <w:t>La modificación del patrimoni</w:t>
      </w:r>
      <w:r w:rsidR="002E4CF1">
        <w:rPr>
          <w:rFonts w:ascii="Arial" w:hAnsi="Arial" w:cs="Arial"/>
          <w:sz w:val="20"/>
          <w:szCs w:val="20"/>
        </w:rPr>
        <w:t>o en el periodo de enero a septiembre</w:t>
      </w:r>
      <w:r w:rsidR="009938A1">
        <w:rPr>
          <w:rFonts w:ascii="Arial" w:hAnsi="Arial" w:cs="Arial"/>
          <w:sz w:val="20"/>
          <w:szCs w:val="20"/>
        </w:rPr>
        <w:t xml:space="preserve"> de 2016, se generó</w:t>
      </w:r>
      <w:r>
        <w:rPr>
          <w:rFonts w:ascii="Arial" w:hAnsi="Arial" w:cs="Arial"/>
          <w:sz w:val="20"/>
          <w:szCs w:val="20"/>
        </w:rPr>
        <w:t xml:space="preserve"> básicamente por </w:t>
      </w:r>
      <w:r w:rsidR="002E4CF1">
        <w:rPr>
          <w:rFonts w:ascii="Arial" w:hAnsi="Arial" w:cs="Arial"/>
          <w:sz w:val="20"/>
          <w:szCs w:val="20"/>
        </w:rPr>
        <w:t xml:space="preserve"> la baja de bienes muebles con un valor inferior a 35 salarios mínimos, así como a </w:t>
      </w:r>
      <w:r>
        <w:rPr>
          <w:rFonts w:ascii="Arial" w:hAnsi="Arial" w:cs="Arial"/>
          <w:sz w:val="20"/>
          <w:szCs w:val="20"/>
        </w:rPr>
        <w:t>los resultados de gestión en dicho periodo</w:t>
      </w:r>
    </w:p>
    <w:p w:rsidR="008C7967" w:rsidRDefault="008C7967" w:rsidP="00DF4E09">
      <w:pPr>
        <w:ind w:left="360"/>
        <w:rPr>
          <w:rFonts w:ascii="Arial" w:hAnsi="Arial" w:cs="Arial"/>
          <w:sz w:val="20"/>
          <w:szCs w:val="20"/>
        </w:rPr>
      </w:pPr>
    </w:p>
    <w:p w:rsidR="008C7967" w:rsidRPr="00DF4E09" w:rsidRDefault="008C7967" w:rsidP="00DF4E09">
      <w:pPr>
        <w:ind w:left="360"/>
        <w:rPr>
          <w:rFonts w:ascii="Arial" w:hAnsi="Arial" w:cs="Arial"/>
          <w:sz w:val="20"/>
          <w:szCs w:val="20"/>
        </w:rPr>
      </w:pPr>
    </w:p>
    <w:p w:rsidR="002C7A02" w:rsidRPr="008C7967" w:rsidRDefault="00DF4E09" w:rsidP="008C7967">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Flujo de Efectivo</w:t>
      </w:r>
    </w:p>
    <w:p w:rsidR="002C7A02" w:rsidRDefault="002C7A02" w:rsidP="00DF4E09">
      <w:pPr>
        <w:jc w:val="both"/>
        <w:rPr>
          <w:rFonts w:ascii="Arial" w:hAnsi="Arial" w:cs="Arial"/>
          <w:sz w:val="20"/>
          <w:szCs w:val="20"/>
        </w:rPr>
      </w:pPr>
    </w:p>
    <w:p w:rsidR="006A6664" w:rsidRDefault="002C7A02" w:rsidP="00DF4E09">
      <w:pPr>
        <w:jc w:val="both"/>
        <w:rPr>
          <w:rFonts w:ascii="Arial" w:hAnsi="Arial" w:cs="Arial"/>
          <w:sz w:val="20"/>
          <w:szCs w:val="20"/>
        </w:rPr>
      </w:pPr>
      <w:r w:rsidRPr="008C7967">
        <w:rPr>
          <w:rFonts w:ascii="Arial" w:hAnsi="Arial" w:cs="Arial"/>
          <w:b/>
          <w:sz w:val="20"/>
          <w:szCs w:val="20"/>
        </w:rPr>
        <w:t>Nota 9.-</w:t>
      </w:r>
      <w:r w:rsidR="00DF4E09" w:rsidRPr="00DF4E09">
        <w:rPr>
          <w:rFonts w:ascii="Arial" w:hAnsi="Arial" w:cs="Arial"/>
          <w:sz w:val="20"/>
          <w:szCs w:val="20"/>
        </w:rPr>
        <w:t>El análisis de los saldos inicial y final que figuran en la última parte del estado de Flujo de Efectivo en la cuenta de efectivo y equivalentes es como sigue:</w:t>
      </w: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bookmarkStart w:id="0" w:name="_GoBack"/>
      <w:bookmarkEnd w:id="0"/>
    </w:p>
    <w:p w:rsidR="006A6664" w:rsidRDefault="00230465" w:rsidP="006A6664">
      <w:pPr>
        <w:jc w:val="center"/>
        <w:rPr>
          <w:rFonts w:ascii="Arial" w:hAnsi="Arial" w:cs="Arial"/>
          <w:sz w:val="20"/>
          <w:szCs w:val="20"/>
        </w:rPr>
      </w:pPr>
      <w:r w:rsidRPr="0039728C">
        <w:rPr>
          <w:rFonts w:ascii="Arial" w:hAnsi="Arial" w:cs="Arial"/>
          <w:sz w:val="20"/>
          <w:szCs w:val="20"/>
        </w:rPr>
        <w:object w:dxaOrig="8814" w:dyaOrig="5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89pt" o:ole="">
            <v:imagedata r:id="rId8" o:title=""/>
          </v:shape>
          <o:OLEObject Type="Embed" ProgID="Excel.Sheet.12" ShapeID="_x0000_i1025" DrawAspect="Content" ObjectID="_1537962227" r:id="rId9"/>
        </w:object>
      </w:r>
    </w:p>
    <w:p w:rsidR="006A6664" w:rsidRDefault="006A6664" w:rsidP="00DF4E09">
      <w:pPr>
        <w:jc w:val="both"/>
        <w:rPr>
          <w:rFonts w:ascii="Arial" w:hAnsi="Arial" w:cs="Arial"/>
          <w:sz w:val="20"/>
          <w:szCs w:val="20"/>
        </w:rPr>
      </w:pPr>
    </w:p>
    <w:p w:rsidR="006A6664" w:rsidRPr="00DF4E09" w:rsidRDefault="006A6664" w:rsidP="00DF4E09">
      <w:pPr>
        <w:jc w:val="both"/>
        <w:rPr>
          <w:rFonts w:ascii="Arial" w:hAnsi="Arial" w:cs="Arial"/>
          <w:sz w:val="20"/>
          <w:szCs w:val="20"/>
        </w:rPr>
      </w:pPr>
    </w:p>
    <w:tbl>
      <w:tblPr>
        <w:tblW w:w="9244" w:type="dxa"/>
        <w:jc w:val="center"/>
        <w:tblLayout w:type="fixed"/>
        <w:tblCellMar>
          <w:left w:w="70" w:type="dxa"/>
          <w:right w:w="70" w:type="dxa"/>
        </w:tblCellMar>
        <w:tblLook w:val="0000"/>
      </w:tblPr>
      <w:tblGrid>
        <w:gridCol w:w="160"/>
        <w:gridCol w:w="5064"/>
        <w:gridCol w:w="2000"/>
        <w:gridCol w:w="2020"/>
      </w:tblGrid>
      <w:tr w:rsidR="00DF4E09" w:rsidRPr="00DF4E09" w:rsidTr="007620AF">
        <w:trPr>
          <w:trHeight w:val="252"/>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sz w:val="20"/>
                <w:szCs w:val="20"/>
              </w:rPr>
              <w:br w:type="page"/>
            </w:r>
            <w:r w:rsidRPr="00DF4E09">
              <w:rPr>
                <w:rFonts w:ascii="Arial" w:hAnsi="Arial" w:cs="Arial"/>
                <w:b/>
                <w:bCs/>
                <w:color w:val="000000"/>
                <w:sz w:val="20"/>
                <w:szCs w:val="20"/>
              </w:rPr>
              <w:t>Sistema Estatal de Evaluación</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Telefonía Rural de Sonora</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Conciliación entre los Ingresos Presupuestarios y Contables</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2423D2">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Del 01 de Enero al 3</w:t>
            </w:r>
            <w:r w:rsidR="002423D2">
              <w:rPr>
                <w:rFonts w:ascii="Arial" w:hAnsi="Arial" w:cs="Arial"/>
                <w:b/>
                <w:bCs/>
                <w:color w:val="000000"/>
                <w:sz w:val="20"/>
                <w:szCs w:val="20"/>
              </w:rPr>
              <w:t>0</w:t>
            </w:r>
            <w:r w:rsidRPr="00DF4E09">
              <w:rPr>
                <w:rFonts w:ascii="Arial" w:hAnsi="Arial" w:cs="Arial"/>
                <w:b/>
                <w:bCs/>
                <w:color w:val="000000"/>
                <w:sz w:val="20"/>
                <w:szCs w:val="20"/>
              </w:rPr>
              <w:t xml:space="preserve"> de </w:t>
            </w:r>
            <w:r w:rsidR="002423D2">
              <w:rPr>
                <w:rFonts w:ascii="Arial" w:hAnsi="Arial" w:cs="Arial"/>
                <w:b/>
                <w:bCs/>
                <w:color w:val="000000"/>
                <w:sz w:val="20"/>
                <w:szCs w:val="20"/>
              </w:rPr>
              <w:t>Junio</w:t>
            </w:r>
            <w:r w:rsidRPr="00DF4E09">
              <w:rPr>
                <w:rFonts w:ascii="Arial" w:hAnsi="Arial" w:cs="Arial"/>
                <w:b/>
                <w:bCs/>
                <w:color w:val="000000"/>
                <w:sz w:val="20"/>
                <w:szCs w:val="20"/>
              </w:rPr>
              <w:t xml:space="preserve"> de 201</w:t>
            </w:r>
            <w:r w:rsidR="002423D2">
              <w:rPr>
                <w:rFonts w:ascii="Arial" w:hAnsi="Arial" w:cs="Arial"/>
                <w:b/>
                <w:bCs/>
                <w:color w:val="000000"/>
                <w:sz w:val="20"/>
                <w:szCs w:val="20"/>
              </w:rPr>
              <w:t>5</w:t>
            </w:r>
          </w:p>
        </w:tc>
      </w:tr>
      <w:tr w:rsidR="00DF4E09" w:rsidRPr="00DF4E09" w:rsidTr="007620AF">
        <w:trPr>
          <w:trHeight w:val="264"/>
          <w:jc w:val="center"/>
        </w:trPr>
        <w:tc>
          <w:tcPr>
            <w:tcW w:w="5224" w:type="dxa"/>
            <w:gridSpan w:val="2"/>
            <w:tcBorders>
              <w:top w:val="single" w:sz="2" w:space="0" w:color="000000"/>
              <w:left w:val="single" w:sz="2" w:space="0" w:color="000000"/>
              <w:bottom w:val="single" w:sz="12" w:space="0" w:color="auto"/>
              <w:right w:val="nil"/>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(PESOS)</w:t>
            </w:r>
          </w:p>
        </w:tc>
        <w:tc>
          <w:tcPr>
            <w:tcW w:w="2000" w:type="dxa"/>
            <w:tcBorders>
              <w:top w:val="single" w:sz="2" w:space="0" w:color="000000"/>
              <w:left w:val="nil"/>
              <w:bottom w:val="single" w:sz="12" w:space="0" w:color="auto"/>
              <w:right w:val="nil"/>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nil"/>
              <w:bottom w:val="single" w:sz="12" w:space="0" w:color="auto"/>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454"/>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1. Ingresos Presupuestarios</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A41BDD" w:rsidP="00A41BD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r w:rsidR="006A6664">
              <w:rPr>
                <w:rFonts w:ascii="Arial" w:hAnsi="Arial" w:cs="Arial"/>
                <w:b/>
                <w:bCs/>
                <w:color w:val="000000"/>
                <w:sz w:val="20"/>
                <w:szCs w:val="20"/>
              </w:rPr>
              <w:t>,</w:t>
            </w:r>
            <w:r>
              <w:rPr>
                <w:rFonts w:ascii="Arial" w:hAnsi="Arial" w:cs="Arial"/>
                <w:b/>
                <w:bCs/>
                <w:color w:val="000000"/>
                <w:sz w:val="20"/>
                <w:szCs w:val="20"/>
              </w:rPr>
              <w:t>079</w:t>
            </w:r>
            <w:r w:rsidR="006A6664">
              <w:rPr>
                <w:rFonts w:ascii="Arial" w:hAnsi="Arial" w:cs="Arial"/>
                <w:b/>
                <w:bCs/>
                <w:color w:val="000000"/>
                <w:sz w:val="20"/>
                <w:szCs w:val="20"/>
              </w:rPr>
              <w:t>,</w:t>
            </w:r>
            <w:r>
              <w:rPr>
                <w:rFonts w:ascii="Arial" w:hAnsi="Arial" w:cs="Arial"/>
                <w:b/>
                <w:bCs/>
                <w:color w:val="000000"/>
                <w:sz w:val="20"/>
                <w:szCs w:val="20"/>
              </w:rPr>
              <w:t>500.25</w:t>
            </w:r>
          </w:p>
        </w:tc>
      </w:tr>
      <w:tr w:rsidR="00DF4E09" w:rsidRPr="00DF4E09" w:rsidTr="007620AF">
        <w:trPr>
          <w:trHeight w:val="163"/>
          <w:jc w:val="center"/>
        </w:trPr>
        <w:tc>
          <w:tcPr>
            <w:tcW w:w="16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200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290"/>
          <w:jc w:val="center"/>
        </w:trPr>
        <w:tc>
          <w:tcPr>
            <w:tcW w:w="5224" w:type="dxa"/>
            <w:gridSpan w:val="2"/>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(MAS)</w:t>
            </w:r>
          </w:p>
        </w:tc>
        <w:tc>
          <w:tcPr>
            <w:tcW w:w="200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2. Ingresos contables no presupuestarios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230465" w:rsidRPr="00DF4E09" w:rsidRDefault="00230465" w:rsidP="0023046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2.61</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Incremento por variación de inventarios</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554"/>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9084" w:type="dxa"/>
            <w:gridSpan w:val="3"/>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estimaciones por pérdida o deterioro u obsolescencia</w:t>
            </w: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provisiones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Otros Ingresos y beneficios varios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415"/>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contables no presupuestarios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230465"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2.61</w:t>
            </w: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125"/>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(MENOS)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3. Ingresos presupuestarios no contables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0</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Productos de capital</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Aprovechamientos de capital</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Ingresos derivados de financiamientos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presupuestarios no contables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0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442"/>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4. Ingresos Contables  (4=  1  +  2  -  3 )</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A41BDD" w:rsidP="00A41BD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r w:rsidR="00F410D6">
              <w:rPr>
                <w:rFonts w:ascii="Arial" w:hAnsi="Arial" w:cs="Arial"/>
                <w:b/>
                <w:bCs/>
                <w:color w:val="000000"/>
                <w:sz w:val="20"/>
                <w:szCs w:val="20"/>
              </w:rPr>
              <w:t>,</w:t>
            </w:r>
            <w:r>
              <w:rPr>
                <w:rFonts w:ascii="Arial" w:hAnsi="Arial" w:cs="Arial"/>
                <w:b/>
                <w:bCs/>
                <w:color w:val="000000"/>
                <w:sz w:val="20"/>
                <w:szCs w:val="20"/>
              </w:rPr>
              <w:t>079</w:t>
            </w:r>
            <w:r w:rsidR="00F410D6">
              <w:rPr>
                <w:rFonts w:ascii="Arial" w:hAnsi="Arial" w:cs="Arial"/>
                <w:b/>
                <w:bCs/>
                <w:color w:val="000000"/>
                <w:sz w:val="20"/>
                <w:szCs w:val="20"/>
              </w:rPr>
              <w:t>,</w:t>
            </w:r>
            <w:r>
              <w:rPr>
                <w:rFonts w:ascii="Arial" w:hAnsi="Arial" w:cs="Arial"/>
                <w:b/>
                <w:bCs/>
                <w:color w:val="000000"/>
                <w:sz w:val="20"/>
                <w:szCs w:val="20"/>
              </w:rPr>
              <w:t>502</w:t>
            </w:r>
            <w:r w:rsidR="00F410D6">
              <w:rPr>
                <w:rFonts w:ascii="Arial" w:hAnsi="Arial" w:cs="Arial"/>
                <w:b/>
                <w:bCs/>
                <w:color w:val="000000"/>
                <w:sz w:val="20"/>
                <w:szCs w:val="20"/>
              </w:rPr>
              <w:t>.</w:t>
            </w:r>
            <w:r>
              <w:rPr>
                <w:rFonts w:ascii="Arial" w:hAnsi="Arial" w:cs="Arial"/>
                <w:b/>
                <w:bCs/>
                <w:color w:val="000000"/>
                <w:sz w:val="20"/>
                <w:szCs w:val="20"/>
              </w:rPr>
              <w:t>86</w:t>
            </w:r>
          </w:p>
        </w:tc>
      </w:tr>
    </w:tbl>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p>
    <w:p w:rsidR="00230465" w:rsidRDefault="00230465" w:rsidP="00DF4E09">
      <w:pPr>
        <w:jc w:val="both"/>
        <w:rPr>
          <w:rFonts w:ascii="Arial" w:hAnsi="Arial" w:cs="Arial"/>
          <w:sz w:val="20"/>
          <w:szCs w:val="20"/>
        </w:rPr>
      </w:pPr>
    </w:p>
    <w:p w:rsidR="00230465" w:rsidRPr="00DF4E09" w:rsidRDefault="00230465" w:rsidP="00DF4E09">
      <w:pPr>
        <w:jc w:val="both"/>
        <w:rPr>
          <w:rFonts w:ascii="Arial" w:hAnsi="Arial" w:cs="Arial"/>
          <w:sz w:val="20"/>
          <w:szCs w:val="20"/>
        </w:rPr>
      </w:pPr>
    </w:p>
    <w:p w:rsidR="00DF4E09" w:rsidRPr="00B554EC" w:rsidRDefault="00DF4E09" w:rsidP="00027034">
      <w:pPr>
        <w:pStyle w:val="Prrafodelista"/>
        <w:numPr>
          <w:ilvl w:val="0"/>
          <w:numId w:val="24"/>
        </w:numPr>
        <w:spacing w:after="0"/>
        <w:jc w:val="both"/>
        <w:rPr>
          <w:rFonts w:ascii="Arial" w:hAnsi="Arial" w:cs="Arial"/>
          <w:b/>
          <w:sz w:val="20"/>
          <w:szCs w:val="20"/>
          <w:lang w:val="es-ES"/>
        </w:rPr>
      </w:pPr>
      <w:r w:rsidRPr="00B554EC">
        <w:rPr>
          <w:rFonts w:ascii="Arial" w:hAnsi="Arial" w:cs="Arial"/>
          <w:b/>
          <w:sz w:val="20"/>
          <w:szCs w:val="20"/>
          <w:lang w:val="es-ES"/>
        </w:rPr>
        <w:t>NOTAS DE MEMORIA</w:t>
      </w:r>
    </w:p>
    <w:p w:rsidR="00B554EC" w:rsidRDefault="00B554EC" w:rsidP="00DF4E09">
      <w:pPr>
        <w:jc w:val="both"/>
        <w:rPr>
          <w:rFonts w:ascii="Arial" w:hAnsi="Arial" w:cs="Arial"/>
          <w:sz w:val="20"/>
          <w:szCs w:val="20"/>
        </w:rPr>
      </w:pPr>
    </w:p>
    <w:p w:rsidR="00DF4E09" w:rsidRPr="00B554EC" w:rsidRDefault="00DF4E09" w:rsidP="00DF4E09">
      <w:pPr>
        <w:jc w:val="both"/>
        <w:rPr>
          <w:rFonts w:ascii="Arial" w:hAnsi="Arial" w:cs="Arial"/>
          <w:b/>
          <w:sz w:val="20"/>
          <w:szCs w:val="20"/>
        </w:rPr>
      </w:pPr>
      <w:r w:rsidRPr="00B554EC">
        <w:rPr>
          <w:rFonts w:ascii="Arial" w:hAnsi="Arial" w:cs="Arial"/>
          <w:b/>
          <w:sz w:val="20"/>
          <w:szCs w:val="20"/>
        </w:rPr>
        <w:t>Cuentas de Orden Contables y Presupuestales</w:t>
      </w:r>
    </w:p>
    <w:p w:rsidR="00B554EC" w:rsidRPr="00DF4E09" w:rsidRDefault="00B554EC" w:rsidP="00DF4E09">
      <w:pPr>
        <w:jc w:val="both"/>
        <w:rPr>
          <w:rFonts w:ascii="Arial" w:hAnsi="Arial" w:cs="Arial"/>
          <w:sz w:val="20"/>
          <w:szCs w:val="20"/>
        </w:rPr>
      </w:pPr>
    </w:p>
    <w:p w:rsidR="00DF4E09" w:rsidRPr="00B33FB2" w:rsidRDefault="00DF4E09" w:rsidP="00DF4E09">
      <w:pPr>
        <w:jc w:val="both"/>
        <w:rPr>
          <w:rFonts w:ascii="Arial" w:hAnsi="Arial" w:cs="Arial"/>
          <w:sz w:val="20"/>
          <w:szCs w:val="20"/>
        </w:rPr>
      </w:pPr>
      <w:r w:rsidRPr="00B33FB2">
        <w:rPr>
          <w:rFonts w:ascii="Arial" w:hAnsi="Arial" w:cs="Arial"/>
          <w:sz w:val="20"/>
          <w:szCs w:val="20"/>
        </w:rPr>
        <w:t>1.- Cuentas de orden Contables. Esta Organismo presenta en  las cuentas de orden contables Demandas Judiciales en proceso de resolución debido a que se encuentra en proceso parte de la Secretaria de Hacienda y Crédito Público el cobro de Créditos fiscales por concepto de  uso de frecuencias de Radi</w:t>
      </w:r>
      <w:r w:rsidRPr="00390F2D">
        <w:rPr>
          <w:rFonts w:ascii="Arial" w:hAnsi="Arial" w:cs="Arial"/>
          <w:sz w:val="20"/>
          <w:szCs w:val="20"/>
        </w:rPr>
        <w:t>o $</w:t>
      </w:r>
      <w:r w:rsidR="00B33FB2" w:rsidRPr="00390F2D">
        <w:rPr>
          <w:rFonts w:ascii="Arial" w:hAnsi="Arial" w:cs="Arial"/>
          <w:sz w:val="20"/>
          <w:szCs w:val="20"/>
        </w:rPr>
        <w:t>16,</w:t>
      </w:r>
      <w:r w:rsidR="00230465" w:rsidRPr="00390F2D">
        <w:rPr>
          <w:rFonts w:ascii="Arial" w:hAnsi="Arial" w:cs="Arial"/>
          <w:sz w:val="20"/>
          <w:szCs w:val="20"/>
        </w:rPr>
        <w:t>579,803.70</w:t>
      </w:r>
      <w:r w:rsidRPr="00390F2D">
        <w:rPr>
          <w:rFonts w:ascii="Arial" w:hAnsi="Arial" w:cs="Arial"/>
          <w:sz w:val="20"/>
          <w:szCs w:val="20"/>
        </w:rPr>
        <w:t xml:space="preserve"> (diez </w:t>
      </w:r>
      <w:r w:rsidR="00B33FB2" w:rsidRPr="00390F2D">
        <w:rPr>
          <w:rFonts w:ascii="Arial" w:hAnsi="Arial" w:cs="Arial"/>
          <w:sz w:val="20"/>
          <w:szCs w:val="20"/>
        </w:rPr>
        <w:t xml:space="preserve">y seis </w:t>
      </w:r>
      <w:r w:rsidRPr="00390F2D">
        <w:rPr>
          <w:rFonts w:ascii="Arial" w:hAnsi="Arial" w:cs="Arial"/>
          <w:sz w:val="20"/>
          <w:szCs w:val="20"/>
        </w:rPr>
        <w:t xml:space="preserve">millones </w:t>
      </w:r>
      <w:r w:rsidR="00230465" w:rsidRPr="00390F2D">
        <w:rPr>
          <w:rFonts w:ascii="Arial" w:hAnsi="Arial" w:cs="Arial"/>
          <w:sz w:val="20"/>
          <w:szCs w:val="20"/>
        </w:rPr>
        <w:t>quinientos setenta y nueve</w:t>
      </w:r>
      <w:r w:rsidR="003F0FCD" w:rsidRPr="00390F2D">
        <w:rPr>
          <w:rFonts w:ascii="Arial" w:hAnsi="Arial" w:cs="Arial"/>
          <w:sz w:val="20"/>
          <w:szCs w:val="20"/>
        </w:rPr>
        <w:t xml:space="preserve"> </w:t>
      </w:r>
      <w:r w:rsidRPr="00390F2D">
        <w:rPr>
          <w:rFonts w:ascii="Arial" w:hAnsi="Arial" w:cs="Arial"/>
          <w:sz w:val="20"/>
          <w:szCs w:val="20"/>
        </w:rPr>
        <w:t xml:space="preserve">mil </w:t>
      </w:r>
      <w:r w:rsidR="00230465" w:rsidRPr="00390F2D">
        <w:rPr>
          <w:rFonts w:ascii="Arial" w:hAnsi="Arial" w:cs="Arial"/>
          <w:sz w:val="20"/>
          <w:szCs w:val="20"/>
        </w:rPr>
        <w:t>ochoc</w:t>
      </w:r>
      <w:r w:rsidR="00B33FB2" w:rsidRPr="00390F2D">
        <w:rPr>
          <w:rFonts w:ascii="Arial" w:hAnsi="Arial" w:cs="Arial"/>
          <w:sz w:val="20"/>
          <w:szCs w:val="20"/>
        </w:rPr>
        <w:t>i</w:t>
      </w:r>
      <w:r w:rsidRPr="00390F2D">
        <w:rPr>
          <w:rFonts w:ascii="Arial" w:hAnsi="Arial" w:cs="Arial"/>
          <w:sz w:val="20"/>
          <w:szCs w:val="20"/>
        </w:rPr>
        <w:t>entos</w:t>
      </w:r>
      <w:r w:rsidR="00230465" w:rsidRPr="00390F2D">
        <w:rPr>
          <w:rFonts w:ascii="Arial" w:hAnsi="Arial" w:cs="Arial"/>
          <w:sz w:val="20"/>
          <w:szCs w:val="20"/>
        </w:rPr>
        <w:t xml:space="preserve"> </w:t>
      </w:r>
      <w:r w:rsidR="003F0FCD" w:rsidRPr="00390F2D">
        <w:rPr>
          <w:rFonts w:ascii="Arial" w:hAnsi="Arial" w:cs="Arial"/>
          <w:sz w:val="20"/>
          <w:szCs w:val="20"/>
        </w:rPr>
        <w:t>tres</w:t>
      </w:r>
      <w:r w:rsidRPr="00390F2D">
        <w:rPr>
          <w:rFonts w:ascii="Arial" w:hAnsi="Arial" w:cs="Arial"/>
          <w:sz w:val="20"/>
          <w:szCs w:val="20"/>
        </w:rPr>
        <w:t xml:space="preserve"> pesos </w:t>
      </w:r>
      <w:r w:rsidR="00230465" w:rsidRPr="00390F2D">
        <w:rPr>
          <w:rFonts w:ascii="Arial" w:hAnsi="Arial" w:cs="Arial"/>
          <w:sz w:val="20"/>
          <w:szCs w:val="20"/>
        </w:rPr>
        <w:t>7</w:t>
      </w:r>
      <w:r w:rsidR="003F0FCD" w:rsidRPr="00390F2D">
        <w:rPr>
          <w:rFonts w:ascii="Arial" w:hAnsi="Arial" w:cs="Arial"/>
          <w:sz w:val="20"/>
          <w:szCs w:val="20"/>
        </w:rPr>
        <w:t>0</w:t>
      </w:r>
      <w:r w:rsidRPr="00390F2D">
        <w:rPr>
          <w:rFonts w:ascii="Arial" w:hAnsi="Arial" w:cs="Arial"/>
          <w:sz w:val="20"/>
          <w:szCs w:val="20"/>
        </w:rPr>
        <w:t>/100 m. n. ); así mismo se encuentra  en juicio la demanda por despido injustificado del ex director de este Organismo Jesús Alberto Félix Ibarra $</w:t>
      </w:r>
      <w:r w:rsidR="00230465" w:rsidRPr="00390F2D">
        <w:rPr>
          <w:rFonts w:ascii="Arial" w:hAnsi="Arial" w:cs="Arial"/>
          <w:sz w:val="20"/>
          <w:szCs w:val="20"/>
        </w:rPr>
        <w:t xml:space="preserve"> 3,517,773.00</w:t>
      </w:r>
      <w:r w:rsidRPr="00390F2D">
        <w:rPr>
          <w:rFonts w:ascii="Arial" w:hAnsi="Arial" w:cs="Arial"/>
          <w:sz w:val="20"/>
          <w:szCs w:val="20"/>
        </w:rPr>
        <w:t xml:space="preserve"> (</w:t>
      </w:r>
      <w:r w:rsidR="00230465" w:rsidRPr="00390F2D">
        <w:rPr>
          <w:rFonts w:ascii="Arial" w:hAnsi="Arial" w:cs="Arial"/>
          <w:sz w:val="20"/>
          <w:szCs w:val="20"/>
        </w:rPr>
        <w:t>Tres</w:t>
      </w:r>
      <w:r w:rsidR="003F0FCD" w:rsidRPr="00390F2D">
        <w:rPr>
          <w:rFonts w:ascii="Arial" w:hAnsi="Arial" w:cs="Arial"/>
          <w:sz w:val="20"/>
          <w:szCs w:val="20"/>
        </w:rPr>
        <w:t xml:space="preserve"> millo</w:t>
      </w:r>
      <w:r w:rsidRPr="00390F2D">
        <w:rPr>
          <w:rFonts w:ascii="Arial" w:hAnsi="Arial" w:cs="Arial"/>
          <w:sz w:val="20"/>
          <w:szCs w:val="20"/>
        </w:rPr>
        <w:t>n</w:t>
      </w:r>
      <w:r w:rsidR="003F0FCD" w:rsidRPr="00390F2D">
        <w:rPr>
          <w:rFonts w:ascii="Arial" w:hAnsi="Arial" w:cs="Arial"/>
          <w:sz w:val="20"/>
          <w:szCs w:val="20"/>
        </w:rPr>
        <w:t>es</w:t>
      </w:r>
      <w:r w:rsidRPr="00390F2D">
        <w:rPr>
          <w:rFonts w:ascii="Arial" w:hAnsi="Arial" w:cs="Arial"/>
          <w:sz w:val="20"/>
          <w:szCs w:val="20"/>
        </w:rPr>
        <w:t xml:space="preserve"> </w:t>
      </w:r>
      <w:r w:rsidR="00230465" w:rsidRPr="00390F2D">
        <w:rPr>
          <w:rFonts w:ascii="Arial" w:hAnsi="Arial" w:cs="Arial"/>
          <w:sz w:val="20"/>
          <w:szCs w:val="20"/>
        </w:rPr>
        <w:t>quinientos diez y siete mil setecientos setenta y tres</w:t>
      </w:r>
      <w:r w:rsidRPr="00390F2D">
        <w:rPr>
          <w:rFonts w:ascii="Arial" w:hAnsi="Arial" w:cs="Arial"/>
          <w:sz w:val="20"/>
          <w:szCs w:val="20"/>
        </w:rPr>
        <w:t xml:space="preserve"> pesos </w:t>
      </w:r>
      <w:r w:rsidR="00230465" w:rsidRPr="00390F2D">
        <w:rPr>
          <w:rFonts w:ascii="Arial" w:hAnsi="Arial" w:cs="Arial"/>
          <w:sz w:val="20"/>
          <w:szCs w:val="20"/>
        </w:rPr>
        <w:t>0</w:t>
      </w:r>
      <w:r w:rsidR="003F0FCD" w:rsidRPr="00390F2D">
        <w:rPr>
          <w:rFonts w:ascii="Arial" w:hAnsi="Arial" w:cs="Arial"/>
          <w:sz w:val="20"/>
          <w:szCs w:val="20"/>
        </w:rPr>
        <w:t>0</w:t>
      </w:r>
      <w:r w:rsidRPr="00390F2D">
        <w:rPr>
          <w:rFonts w:ascii="Arial" w:hAnsi="Arial" w:cs="Arial"/>
          <w:sz w:val="20"/>
          <w:szCs w:val="20"/>
        </w:rPr>
        <w:t>/100 m. n. ), dando</w:t>
      </w:r>
      <w:r w:rsidRPr="00B33FB2">
        <w:rPr>
          <w:rFonts w:ascii="Arial" w:hAnsi="Arial" w:cs="Arial"/>
          <w:sz w:val="20"/>
          <w:szCs w:val="20"/>
        </w:rPr>
        <w:t xml:space="preserve"> un total de $</w:t>
      </w:r>
      <w:r w:rsidR="00230465">
        <w:rPr>
          <w:rFonts w:ascii="Arial" w:hAnsi="Arial" w:cs="Arial"/>
          <w:sz w:val="20"/>
          <w:szCs w:val="20"/>
        </w:rPr>
        <w:t xml:space="preserve"> 20,097,576.70</w:t>
      </w:r>
      <w:r w:rsidRPr="00B33FB2">
        <w:rPr>
          <w:rFonts w:ascii="Arial" w:hAnsi="Arial" w:cs="Arial"/>
          <w:sz w:val="20"/>
          <w:szCs w:val="20"/>
        </w:rPr>
        <w:t xml:space="preserve"> (</w:t>
      </w:r>
      <w:r w:rsidR="00230465">
        <w:rPr>
          <w:rFonts w:ascii="Arial" w:hAnsi="Arial" w:cs="Arial"/>
          <w:sz w:val="20"/>
          <w:szCs w:val="20"/>
        </w:rPr>
        <w:t>Veinte</w:t>
      </w:r>
      <w:r w:rsidRPr="00B33FB2">
        <w:rPr>
          <w:rFonts w:ascii="Arial" w:hAnsi="Arial" w:cs="Arial"/>
          <w:sz w:val="20"/>
          <w:szCs w:val="20"/>
        </w:rPr>
        <w:t xml:space="preserve"> millones </w:t>
      </w:r>
      <w:r w:rsidR="00230465">
        <w:rPr>
          <w:rFonts w:ascii="Arial" w:hAnsi="Arial" w:cs="Arial"/>
          <w:sz w:val="20"/>
          <w:szCs w:val="20"/>
        </w:rPr>
        <w:t>noventa y siete mil quin</w:t>
      </w:r>
      <w:r w:rsidR="00811F4B">
        <w:rPr>
          <w:rFonts w:ascii="Arial" w:hAnsi="Arial" w:cs="Arial"/>
          <w:sz w:val="20"/>
          <w:szCs w:val="20"/>
        </w:rPr>
        <w:t xml:space="preserve">ientos </w:t>
      </w:r>
      <w:r w:rsidR="00230465">
        <w:rPr>
          <w:rFonts w:ascii="Arial" w:hAnsi="Arial" w:cs="Arial"/>
          <w:sz w:val="20"/>
          <w:szCs w:val="20"/>
        </w:rPr>
        <w:t>setenta y seis</w:t>
      </w:r>
      <w:r w:rsidR="00C5691B">
        <w:rPr>
          <w:rFonts w:ascii="Arial" w:hAnsi="Arial" w:cs="Arial"/>
          <w:sz w:val="20"/>
          <w:szCs w:val="20"/>
        </w:rPr>
        <w:t xml:space="preserve"> </w:t>
      </w:r>
      <w:r w:rsidRPr="00B33FB2">
        <w:rPr>
          <w:rFonts w:ascii="Arial" w:hAnsi="Arial" w:cs="Arial"/>
          <w:sz w:val="20"/>
          <w:szCs w:val="20"/>
        </w:rPr>
        <w:t xml:space="preserve">pesos </w:t>
      </w:r>
      <w:r w:rsidR="00230465">
        <w:rPr>
          <w:rFonts w:ascii="Arial" w:hAnsi="Arial" w:cs="Arial"/>
          <w:sz w:val="20"/>
          <w:szCs w:val="20"/>
        </w:rPr>
        <w:t>7</w:t>
      </w:r>
      <w:r w:rsidR="00811F4B">
        <w:rPr>
          <w:rFonts w:ascii="Arial" w:hAnsi="Arial" w:cs="Arial"/>
          <w:sz w:val="20"/>
          <w:szCs w:val="20"/>
        </w:rPr>
        <w:t>0</w:t>
      </w:r>
      <w:r w:rsidRPr="00B33FB2">
        <w:rPr>
          <w:rFonts w:ascii="Arial" w:hAnsi="Arial" w:cs="Arial"/>
          <w:sz w:val="20"/>
          <w:szCs w:val="20"/>
        </w:rPr>
        <w:t>/100 m. n.).</w:t>
      </w:r>
    </w:p>
    <w:p w:rsidR="00F410D6" w:rsidRDefault="00F410D6"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B33FB2">
        <w:rPr>
          <w:rFonts w:ascii="Arial" w:hAnsi="Arial" w:cs="Arial"/>
          <w:sz w:val="20"/>
          <w:szCs w:val="20"/>
        </w:rPr>
        <w:t>2.- Bienes bajo contrato de comodato por un importe de $327,000.00 (tres cientos veintisiete mil pesos 00/100 m. n.) por el comodato del Pick up Ford 2008, propiedad de la Secretaría de Infraestructura y Desarrollo Urbano.</w:t>
      </w:r>
      <w:r w:rsidR="00390F2D">
        <w:rPr>
          <w:rFonts w:ascii="Arial" w:hAnsi="Arial" w:cs="Arial"/>
          <w:sz w:val="20"/>
          <w:szCs w:val="20"/>
        </w:rPr>
        <w:t xml:space="preserve"> Así como </w:t>
      </w:r>
    </w:p>
    <w:p w:rsidR="00DF4E09" w:rsidRDefault="00390F2D" w:rsidP="00DF4E09">
      <w:pPr>
        <w:jc w:val="both"/>
        <w:rPr>
          <w:rFonts w:ascii="Arial" w:hAnsi="Arial" w:cs="Arial"/>
          <w:sz w:val="20"/>
          <w:szCs w:val="20"/>
        </w:rPr>
      </w:pPr>
      <w:r>
        <w:rPr>
          <w:rFonts w:ascii="Arial" w:hAnsi="Arial" w:cs="Arial"/>
          <w:sz w:val="20"/>
          <w:szCs w:val="20"/>
        </w:rPr>
        <w:t>$33,197,904.91 de equipo de comunicación recibido de la misma Secretarìa.</w:t>
      </w:r>
    </w:p>
    <w:p w:rsidR="00F410D6" w:rsidRPr="00DF4E09" w:rsidRDefault="00F410D6" w:rsidP="00DF4E09">
      <w:pPr>
        <w:jc w:val="both"/>
        <w:rPr>
          <w:rFonts w:ascii="Arial" w:hAnsi="Arial" w:cs="Arial"/>
          <w:sz w:val="20"/>
          <w:szCs w:val="20"/>
        </w:rPr>
      </w:pPr>
    </w:p>
    <w:p w:rsidR="00DF4E09" w:rsidRPr="00DF4E09" w:rsidRDefault="00DF4E09" w:rsidP="00027034">
      <w:pPr>
        <w:pStyle w:val="Prrafodelista"/>
        <w:numPr>
          <w:ilvl w:val="0"/>
          <w:numId w:val="24"/>
        </w:numPr>
        <w:spacing w:after="0"/>
        <w:jc w:val="both"/>
        <w:rPr>
          <w:rFonts w:ascii="Arial" w:hAnsi="Arial" w:cs="Arial"/>
          <w:sz w:val="20"/>
          <w:szCs w:val="20"/>
          <w:lang w:val="es-ES"/>
        </w:rPr>
      </w:pPr>
      <w:r w:rsidRPr="00DF4E09">
        <w:rPr>
          <w:rFonts w:ascii="Arial" w:hAnsi="Arial" w:cs="Arial"/>
          <w:sz w:val="20"/>
          <w:szCs w:val="20"/>
          <w:lang w:val="es-ES"/>
        </w:rPr>
        <w:t>NOTAS DE GESTION ADMINISTRATIVA</w:t>
      </w:r>
    </w:p>
    <w:p w:rsidR="00811F4B"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 Introducción.</w:t>
      </w:r>
    </w:p>
    <w:p w:rsidR="00811F4B"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proveen de información financiera a sus principales usuarios, la ciudadanía, a la Secretaria de Infraestructura y Desarrollo Urbano, a Secretaria de Hacienda que integran el Poder Ejecutivo del Gobierno del Estado, al H. Congreso del Estado de Sonora, a las Entidades Fiscalizadoras.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El objetivo del presente documento es la revelación del contexto</w:t>
      </w:r>
      <w:r w:rsidR="007F2C5D">
        <w:rPr>
          <w:rFonts w:ascii="Arial" w:hAnsi="Arial" w:cs="Arial"/>
          <w:sz w:val="20"/>
          <w:szCs w:val="20"/>
        </w:rPr>
        <w:t xml:space="preserve"> y de los aspectos económicos  f</w:t>
      </w:r>
      <w:r w:rsidRPr="00DF4E09">
        <w:rPr>
          <w:rFonts w:ascii="Arial" w:hAnsi="Arial" w:cs="Arial"/>
          <w:sz w:val="20"/>
          <w:szCs w:val="20"/>
        </w:rPr>
        <w:t>inancieros más relevantes que influyeron en las decisiones del periodo y que deberán ser  considerados en la elaboración de los estados financieros para la mayor compresión de los mismos.</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son elaborados por la Subdirección  Administrativa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origen de los ingresos y del destino del gasto, cabe señalar aún se están realizando trabajos para cumplir con dichas disposiciones.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2.-Panorama Económico y Financiero.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 respecto al entorno bajo el cual se desarrollan las operaciones del Organismo, se presentan bajas  expectativa de mejorar condiciones económicas por parte de los financiamientos para inversión en equipo  que recibe por parte de los Gobiernos del Estado y  Gobierno Federal, que de cierta manera inciden en el servicio prestado, sin embargo aun cuando son tiempos  difíciles en los cuales Telefonía Rural cuenta con el apoyo de recursos propios para gastos de operación y mantenimiento  de la red, estos no fluyen como deberían debido a que algunos de estos recursos no han sido recibidos en tiempo, anualmente se ha operado con menos recursos por parte de los que aporta el Gobierno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Lo anterior, implica realizar un esfuerzo en la aplicación de los recursos, aunado a las medidas y condiciones de austeridad y de racionalidad. Sin embargo, el Organismo ha crecido en su cobertura  y tal esfuerzo ha sido con los mismos recursos presupuestales.</w:t>
      </w:r>
      <w:r w:rsidRPr="00DF4E09">
        <w:rPr>
          <w:rFonts w:ascii="Arial" w:hAnsi="Arial" w:cs="Arial"/>
          <w:sz w:val="20"/>
          <w:szCs w:val="20"/>
        </w:rPr>
        <w:cr/>
      </w:r>
    </w:p>
    <w:p w:rsidR="00DF4E09" w:rsidRPr="00DF4E09" w:rsidRDefault="00DF4E09" w:rsidP="00DF4E09">
      <w:pPr>
        <w:jc w:val="both"/>
        <w:rPr>
          <w:rFonts w:ascii="Arial" w:hAnsi="Arial" w:cs="Arial"/>
          <w:sz w:val="20"/>
          <w:szCs w:val="20"/>
        </w:rPr>
      </w:pPr>
      <w:r w:rsidRPr="00DF4E09">
        <w:rPr>
          <w:rFonts w:ascii="Arial" w:hAnsi="Arial" w:cs="Arial"/>
          <w:sz w:val="20"/>
          <w:szCs w:val="20"/>
        </w:rPr>
        <w:t>3.-Autorizacion e Historia.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a) Fecha de creación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Telefonía Rural de Sonora es un organismo descentralizado del Gobierno del Estado, con personalidad jurídica y patrimonio propio y tendrá por objeto la planeación, ejecución, conservación, operación y mantenimiento de la red de telefonía rural del estado vía satélite e </w:t>
      </w:r>
      <w:r w:rsidR="00811F4B" w:rsidRPr="00DF4E09">
        <w:rPr>
          <w:rFonts w:ascii="Arial" w:hAnsi="Arial" w:cs="Arial"/>
          <w:sz w:val="20"/>
          <w:szCs w:val="20"/>
        </w:rPr>
        <w:t>inalámbrico</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fue creado mediante decreto publicado en boletín oficial del día jueves 14 de marzo de 1991.</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Principales cambios en su estructura.</w:t>
      </w: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 xml:space="preserve"> Este Organismo inicialmente tenía como cabeza de sector a la ahora desaparecida Secretaria de Planeación del Desarrollo y Gasto Público, siendo actualmente la Secretaría de Desarrollo Urbano, inicia con una dirección general, dos direcciones de área y una subdirección, después sufre una reducción de personal y en área de oficinas, debido a que disminuye  el servicio que prestaba siendo en aquel entonces solo telefónico, actualmente cuenta con tres subdirecciones y el servicio se ha incrementado notoriamente al introducir servicio de radiocomunicación y de conectividad a internet.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4.- Organización y Objeto Social.</w:t>
      </w:r>
    </w:p>
    <w:p w:rsidR="00DF4E09" w:rsidRPr="00DF4E09" w:rsidRDefault="00DF4E09" w:rsidP="00DF4E09">
      <w:pPr>
        <w:jc w:val="both"/>
        <w:rPr>
          <w:rFonts w:ascii="Arial" w:hAnsi="Arial" w:cs="Arial"/>
          <w:sz w:val="20"/>
          <w:szCs w:val="20"/>
        </w:rPr>
      </w:pPr>
      <w:r w:rsidRPr="00DF4E09">
        <w:rPr>
          <w:rFonts w:ascii="Arial" w:hAnsi="Arial" w:cs="Arial"/>
          <w:sz w:val="20"/>
          <w:szCs w:val="20"/>
        </w:rPr>
        <w:t>a) Objeto Social. Telefonía Rural de Sonora nace con el fin de brindar un servicio social a los pueblos más pequeños del Estado de Sonora, al lograr comunicarlos por medio de una caseta telefónica.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b) Principal actividad. </w:t>
      </w:r>
    </w:p>
    <w:p w:rsidR="00DF4E09" w:rsidRPr="00DF4E09" w:rsidRDefault="00DF4E09" w:rsidP="00DF4E09">
      <w:pPr>
        <w:jc w:val="both"/>
        <w:rPr>
          <w:rFonts w:ascii="Arial" w:hAnsi="Arial" w:cs="Arial"/>
          <w:sz w:val="20"/>
          <w:szCs w:val="20"/>
        </w:rPr>
      </w:pPr>
      <w:r w:rsidRPr="00DF4E09">
        <w:rPr>
          <w:rFonts w:ascii="Arial" w:hAnsi="Arial" w:cs="Arial"/>
          <w:sz w:val="20"/>
          <w:szCs w:val="20"/>
        </w:rPr>
        <w:t>La principal actividad de este Organismo es brindar servicios de comunicación a las regiones rurales del estado.</w:t>
      </w:r>
      <w:r w:rsidR="00FB6DA5">
        <w:rPr>
          <w:rFonts w:ascii="Arial" w:hAnsi="Arial" w:cs="Arial"/>
          <w:sz w:val="20"/>
          <w:szCs w:val="20"/>
        </w:rPr>
        <w:t xml:space="preserve"> Brindando actualmente servicio telefónico, de radiocomunicación y de conectividad a internet en poblaciones rurales del Estado de Sonora.</w:t>
      </w:r>
    </w:p>
    <w:p w:rsidR="00811F4B" w:rsidRPr="00DF4E09"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Ejercicio Fiscal.</w:t>
      </w:r>
    </w:p>
    <w:p w:rsidR="00DF4E09" w:rsidRPr="00DF4E09" w:rsidRDefault="00DF4E09" w:rsidP="00DF4E09">
      <w:pPr>
        <w:jc w:val="both"/>
        <w:rPr>
          <w:rFonts w:ascii="Arial" w:hAnsi="Arial" w:cs="Arial"/>
          <w:sz w:val="20"/>
          <w:szCs w:val="20"/>
        </w:rPr>
      </w:pPr>
      <w:r w:rsidRPr="00DF4E09">
        <w:rPr>
          <w:rFonts w:ascii="Arial" w:hAnsi="Arial" w:cs="Arial"/>
          <w:sz w:val="20"/>
          <w:szCs w:val="20"/>
        </w:rPr>
        <w:t>Las cifras contenidas en los Estados Financieros y que se mencionan en estas notas se presentan al</w:t>
      </w:r>
      <w:r w:rsidR="00C5691B">
        <w:rPr>
          <w:rFonts w:ascii="Arial" w:hAnsi="Arial" w:cs="Arial"/>
          <w:sz w:val="20"/>
          <w:szCs w:val="20"/>
        </w:rPr>
        <w:t xml:space="preserve"> </w:t>
      </w:r>
      <w:r w:rsidRPr="00DF4E09">
        <w:rPr>
          <w:rFonts w:ascii="Arial" w:hAnsi="Arial" w:cs="Arial"/>
          <w:sz w:val="20"/>
          <w:szCs w:val="20"/>
        </w:rPr>
        <w:t>3</w:t>
      </w:r>
      <w:r w:rsidR="002423D2">
        <w:rPr>
          <w:rFonts w:ascii="Arial" w:hAnsi="Arial" w:cs="Arial"/>
          <w:sz w:val="20"/>
          <w:szCs w:val="20"/>
        </w:rPr>
        <w:t>0</w:t>
      </w:r>
      <w:r w:rsidRPr="00DF4E09">
        <w:rPr>
          <w:rFonts w:ascii="Arial" w:hAnsi="Arial" w:cs="Arial"/>
          <w:sz w:val="20"/>
          <w:szCs w:val="20"/>
        </w:rPr>
        <w:t xml:space="preserve"> de mes de </w:t>
      </w:r>
      <w:r w:rsidR="002423D2">
        <w:rPr>
          <w:rFonts w:ascii="Arial" w:hAnsi="Arial" w:cs="Arial"/>
          <w:sz w:val="20"/>
          <w:szCs w:val="20"/>
        </w:rPr>
        <w:t>Junio</w:t>
      </w:r>
      <w:r w:rsidR="00FB6DA5">
        <w:rPr>
          <w:rFonts w:ascii="Arial" w:hAnsi="Arial" w:cs="Arial"/>
          <w:sz w:val="20"/>
          <w:szCs w:val="20"/>
        </w:rPr>
        <w:t xml:space="preserve"> del Ejercicio Fiscal 201</w:t>
      </w:r>
      <w:r w:rsidR="00C5691B">
        <w:rPr>
          <w:rFonts w:ascii="Arial" w:hAnsi="Arial" w:cs="Arial"/>
          <w:sz w:val="20"/>
          <w:szCs w:val="20"/>
        </w:rPr>
        <w:t>6</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d) Régimen Jurídico.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 los Estados Unidos Mexicanos.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General de Contabilidad Gubernamental.</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del Estado Libre y Soberano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Orgánica del Poder Ejecutivo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38 del Instituto de Seguridad y Servicios Sociales de los Trabajadores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40 de Planeación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54 de Responsabilidades de los Servidores Públicos del Estado y de los Municipios.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113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6 de Adquisiciones, Arrendamientos y Prestación de Servicios Relacionados con Bienes Muebles de la Administración Pública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156, de Acceso a la Información Pública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Reglamento de la Ley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obras publicas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federal de telecomunicaciones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servicio civil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bienes y concesiones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ISSSTESON</w:t>
      </w:r>
    </w:p>
    <w:p w:rsidR="00DF4E09" w:rsidRDefault="00DF4E09" w:rsidP="00DF4E09">
      <w:pPr>
        <w:jc w:val="both"/>
        <w:rPr>
          <w:rFonts w:ascii="Arial" w:hAnsi="Arial" w:cs="Arial"/>
          <w:sz w:val="20"/>
          <w:szCs w:val="20"/>
        </w:rPr>
      </w:pPr>
      <w:r w:rsidRPr="00DF4E09">
        <w:rPr>
          <w:rFonts w:ascii="Arial" w:hAnsi="Arial" w:cs="Arial"/>
          <w:sz w:val="20"/>
          <w:szCs w:val="20"/>
        </w:rPr>
        <w:t>Ley del presupuesto de egresos, contabilidad gubernamental y gasto público estatal</w:t>
      </w:r>
    </w:p>
    <w:p w:rsidR="00FB6DA5" w:rsidRPr="00DF4E09" w:rsidRDefault="00FB6DA5" w:rsidP="00DF4E09">
      <w:pPr>
        <w:jc w:val="both"/>
        <w:rPr>
          <w:rFonts w:ascii="Arial" w:hAnsi="Arial" w:cs="Arial"/>
          <w:sz w:val="20"/>
          <w:szCs w:val="20"/>
        </w:rPr>
      </w:pPr>
      <w:r>
        <w:rPr>
          <w:rFonts w:ascii="Arial" w:hAnsi="Arial" w:cs="Arial"/>
          <w:sz w:val="20"/>
          <w:szCs w:val="20"/>
        </w:rPr>
        <w:t>Entre otras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 Consideraciones fiscales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de Sonora es un Organismo descentralizado del Gobierno del Estado de Sonora, Persona Moral con fines no lucrativos y de conformidad con las leyes respectivas, no es contribuyente del Impuesto Sobre la Renta, ni del Impuesto Empresarial Tasa única, teniendo como obligaciones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w:t>
      </w:r>
    </w:p>
    <w:p w:rsidR="00DF4E09" w:rsidRPr="00DF4E09" w:rsidRDefault="00DF4E09" w:rsidP="00DF4E09">
      <w:pPr>
        <w:jc w:val="both"/>
        <w:rPr>
          <w:rFonts w:ascii="Arial" w:hAnsi="Arial" w:cs="Arial"/>
          <w:sz w:val="20"/>
          <w:szCs w:val="20"/>
        </w:rPr>
      </w:pPr>
      <w:r w:rsidRPr="00DF4E09">
        <w:rPr>
          <w:rFonts w:ascii="Arial" w:hAnsi="Arial" w:cs="Arial"/>
          <w:sz w:val="20"/>
          <w:szCs w:val="20"/>
        </w:rPr>
        <w:t>Así mismo, El Organismo  es contribuyente del Impuesto al Valor Agregado que es cobrado por ingresos propios y por el que le es trasladado en la adquisición de bienes y servicios, el cual incluye como parte del costo de adquisición de dichos bienes o como parte de la erogación realizada,  en caso de que la adquisición sea con recursos estatales.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f) Estructura Organizacional Básica.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Manual de Organización contempla la estructura Orgánica autorizada para el Organismo, aun cuando esta ha sufrido cambios pasando de dos Direcciones de Área y una Subdirección a tres Subdirecciones, Su contenido contempla las funciones principales de las distintas áreas que conforman la estructura orgánica y tiene por Objeto establecer la Organización y las Disposiciones que rigen el funcionamiento del mismo. Actualmente se encuentra </w:t>
      </w:r>
      <w:r w:rsidR="00811F4B" w:rsidRPr="00DF4E09">
        <w:rPr>
          <w:rFonts w:ascii="Arial" w:hAnsi="Arial" w:cs="Arial"/>
          <w:sz w:val="20"/>
          <w:szCs w:val="20"/>
        </w:rPr>
        <w:t xml:space="preserve">en </w:t>
      </w:r>
      <w:r w:rsidR="00811F4B" w:rsidRPr="00DF4E09">
        <w:rPr>
          <w:rFonts w:ascii="Arial" w:hAnsi="Arial" w:cs="Arial"/>
          <w:sz w:val="20"/>
          <w:szCs w:val="20"/>
        </w:rPr>
        <w:lastRenderedPageBreak/>
        <w:t>proceso</w:t>
      </w:r>
      <w:r w:rsidRPr="00DF4E09">
        <w:rPr>
          <w:rFonts w:ascii="Arial" w:hAnsi="Arial" w:cs="Arial"/>
          <w:sz w:val="20"/>
          <w:szCs w:val="20"/>
        </w:rPr>
        <w:t xml:space="preserve"> de autorización los cambios al Reglamento Interior y una vez ya validado por la instancia correspondiente de parte del Gobierno del Estado de Sonora, se someterá a la autorización </w:t>
      </w:r>
      <w:r w:rsidR="00811F4B" w:rsidRPr="00DF4E09">
        <w:rPr>
          <w:rFonts w:ascii="Arial" w:hAnsi="Arial" w:cs="Arial"/>
          <w:sz w:val="20"/>
          <w:szCs w:val="20"/>
        </w:rPr>
        <w:t>del</w:t>
      </w:r>
      <w:r w:rsidRPr="00DF4E09">
        <w:rPr>
          <w:rFonts w:ascii="Arial" w:hAnsi="Arial" w:cs="Arial"/>
          <w:sz w:val="20"/>
          <w:szCs w:val="20"/>
        </w:rPr>
        <w:t xml:space="preserve"> H. Junta Directiva.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g) Fideicomisos, mandatos y análogos de los cuales es fideicomitente o fiduciario.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El Organismo no se encuentra en los supuestos de este apartado.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5.-Bases para la preparación de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cumplimiento a las disposiciones emitidas de acuerdo a la LGCG, el Organismo ha venido implementando una serie de medidas tendiente a cumplir con dichas disposiciones, para lo cual se ha venido apoyando con diversas herramientas por medio del uso de las tecnologías de la información, en la cual se ha adquirido el programa diseñado por INDETEC, con el fin de cumplir la múltiple normatividad emitida por el Consejo de Armonización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Para la armonización del Sistema de Contabilidad Gubernamental, el Organismo se ha visto en la necesidad de adecuar dentro de su organización interna algunos procesos, así como implementar modificaciones en los diversos sistemas que le permitan dar cumplimiento a los diversos elementos técnicos-contables-fiscales,  el Marco Conceptual y los Postulados Básicos de Contabilidad Gubernamental, se dispone de lista de Cuentas alineadas al plan de cuentas; clasificadores presupuestarios armonizados y las respectivas matrices de conversión.</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La base de medición utilizada en el registro de las operaciones para la elaboración de los Estados Financieros es a Costo histórico.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Postulados básicos de la Contabilidad gubernamental aprobados por la CONAC.</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Sustancia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Entes Públicos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Existencia Permanente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Revelación Suficiente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Importancia Relativa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Registro e Integración Presupuestaria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Consolidación de la Información Financiera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Devengo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Valuación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Dualidad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Consistencia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Normatividad supletoria. </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6.- Políticas de Contabilidad Significativas.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los presentes Estados Financieros no se aplica aún algún método para la actualización de los activos, pasivos y Hacienda Pública y/o Patrimonio.</w:t>
      </w:r>
    </w:p>
    <w:p w:rsidR="00DF4E09" w:rsidRPr="00DF4E09" w:rsidRDefault="00DF4E09" w:rsidP="00DF4E09">
      <w:pPr>
        <w:jc w:val="both"/>
        <w:rPr>
          <w:rFonts w:ascii="Arial" w:hAnsi="Arial" w:cs="Arial"/>
          <w:sz w:val="20"/>
          <w:szCs w:val="20"/>
        </w:rPr>
      </w:pPr>
      <w:r w:rsidRPr="00DF4E09">
        <w:rPr>
          <w:rFonts w:ascii="Arial" w:hAnsi="Arial" w:cs="Arial"/>
          <w:sz w:val="20"/>
          <w:szCs w:val="20"/>
        </w:rPr>
        <w:t>b) El Organismo no realizó operaciones en el extranjero.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 El Organismo no c</w:t>
      </w:r>
      <w:r w:rsidR="00FB6DA5">
        <w:rPr>
          <w:rFonts w:ascii="Arial" w:hAnsi="Arial" w:cs="Arial"/>
          <w:sz w:val="20"/>
          <w:szCs w:val="20"/>
        </w:rPr>
        <w:t>uenta con almacén</w:t>
      </w:r>
      <w:r w:rsidRPr="00DF4E09">
        <w:rPr>
          <w:rFonts w:ascii="Arial" w:hAnsi="Arial" w:cs="Arial"/>
          <w:sz w:val="20"/>
          <w:szCs w:val="20"/>
        </w:rPr>
        <w:t xml:space="preserve"> de insumos</w:t>
      </w:r>
      <w:r w:rsidR="00FB6DA5">
        <w:rPr>
          <w:rFonts w:ascii="Arial" w:hAnsi="Arial" w:cs="Arial"/>
          <w:sz w:val="20"/>
          <w:szCs w:val="20"/>
        </w:rPr>
        <w:t>, debido al servicio que presta</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Los Estados financieros aún no presentan registros </w:t>
      </w:r>
      <w:r w:rsidR="00FB6DA5">
        <w:rPr>
          <w:rFonts w:ascii="Arial" w:hAnsi="Arial" w:cs="Arial"/>
          <w:sz w:val="20"/>
          <w:szCs w:val="20"/>
        </w:rPr>
        <w:t>de provisiones para el momento</w:t>
      </w:r>
      <w:r w:rsidRPr="00DF4E09">
        <w:rPr>
          <w:rFonts w:ascii="Arial" w:hAnsi="Arial" w:cs="Arial"/>
          <w:sz w:val="20"/>
          <w:szCs w:val="20"/>
        </w:rPr>
        <w:t xml:space="preserve"> que se presente la necesidad de indemnizar al personal.</w:t>
      </w:r>
    </w:p>
    <w:p w:rsidR="00DF4E09" w:rsidRPr="00DF4E09" w:rsidRDefault="00DF4E09" w:rsidP="00DF4E09">
      <w:pPr>
        <w:jc w:val="both"/>
        <w:rPr>
          <w:rFonts w:ascii="Arial" w:hAnsi="Arial" w:cs="Arial"/>
          <w:sz w:val="20"/>
          <w:szCs w:val="20"/>
        </w:rPr>
      </w:pPr>
      <w:r w:rsidRPr="00DF4E09">
        <w:rPr>
          <w:rFonts w:ascii="Arial" w:hAnsi="Arial" w:cs="Arial"/>
          <w:sz w:val="20"/>
          <w:szCs w:val="20"/>
        </w:rPr>
        <w:t>e) Los Estados financieros no presentan registros de reservas.</w:t>
      </w:r>
    </w:p>
    <w:p w:rsidR="00DF4E09" w:rsidRPr="00DF4E09" w:rsidRDefault="00DF4E09" w:rsidP="00DF4E09">
      <w:pPr>
        <w:jc w:val="both"/>
        <w:rPr>
          <w:rFonts w:ascii="Arial" w:hAnsi="Arial" w:cs="Arial"/>
          <w:sz w:val="20"/>
          <w:szCs w:val="20"/>
        </w:rPr>
      </w:pPr>
      <w:r w:rsidRPr="00DF4E09">
        <w:rPr>
          <w:rFonts w:ascii="Arial" w:hAnsi="Arial" w:cs="Arial"/>
          <w:sz w:val="20"/>
          <w:szCs w:val="20"/>
        </w:rPr>
        <w:t>f) Provisiones.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g) Reservas.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h) Cambios en políticas contables. En diciembre de 2012 se realiza el cambio en políticas contables lo que requirió un ajuste por dichos cambios y el cual se refleja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i) Reclasificaciones. No se presentan.</w:t>
      </w:r>
    </w:p>
    <w:p w:rsidR="00DF4E09" w:rsidRPr="00DF4E09" w:rsidRDefault="00DF4E09" w:rsidP="00DF4E09">
      <w:pPr>
        <w:jc w:val="both"/>
        <w:rPr>
          <w:rFonts w:ascii="Arial" w:hAnsi="Arial" w:cs="Arial"/>
          <w:sz w:val="20"/>
          <w:szCs w:val="20"/>
        </w:rPr>
      </w:pPr>
      <w:r w:rsidRPr="00DF4E09">
        <w:rPr>
          <w:rFonts w:ascii="Arial" w:hAnsi="Arial" w:cs="Arial"/>
          <w:sz w:val="20"/>
          <w:szCs w:val="20"/>
        </w:rPr>
        <w:t>j) Depuración y cancelación de saldos.</w:t>
      </w:r>
      <w:r w:rsidR="00FB6DA5">
        <w:rPr>
          <w:rFonts w:ascii="Arial" w:hAnsi="Arial" w:cs="Arial"/>
          <w:sz w:val="20"/>
          <w:szCs w:val="20"/>
        </w:rPr>
        <w:t xml:space="preserve"> No se realizo en este periodo.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7.- Posición en Moneda Extranjera y Protección por Riesgo Cambiario.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no cuenta con operaciones en moneda extranjera.</w:t>
      </w:r>
    </w:p>
    <w:p w:rsidR="00DF4E09" w:rsidRPr="00DF4E09" w:rsidRDefault="00DF4E09" w:rsidP="00DF4E09">
      <w:pPr>
        <w:jc w:val="both"/>
        <w:rPr>
          <w:rFonts w:ascii="Arial" w:hAnsi="Arial" w:cs="Arial"/>
          <w:sz w:val="20"/>
          <w:szCs w:val="20"/>
        </w:rPr>
      </w:pPr>
      <w:r w:rsidRPr="00DF4E09">
        <w:rPr>
          <w:rFonts w:ascii="Arial" w:hAnsi="Arial" w:cs="Arial"/>
          <w:sz w:val="20"/>
          <w:szCs w:val="20"/>
        </w:rPr>
        <w:t>a) Activos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b) Pasivos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c) Posición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d) Tipos de cambio.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e) Equivalente en moneda nacional.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8.- Reporte Analítico del Activo.</w:t>
      </w:r>
    </w:p>
    <w:p w:rsidR="00DF4E09" w:rsidRDefault="00DF4E09" w:rsidP="00DF4E09">
      <w:pPr>
        <w:jc w:val="both"/>
        <w:rPr>
          <w:rFonts w:ascii="Arial" w:hAnsi="Arial" w:cs="Arial"/>
          <w:sz w:val="20"/>
          <w:szCs w:val="20"/>
        </w:rPr>
      </w:pPr>
      <w:r w:rsidRPr="00DF4E09">
        <w:rPr>
          <w:rFonts w:ascii="Arial" w:hAnsi="Arial" w:cs="Arial"/>
          <w:sz w:val="20"/>
          <w:szCs w:val="20"/>
        </w:rPr>
        <w:t xml:space="preserve">De los Activos registrados en los Estados Financieros </w:t>
      </w:r>
      <w:r w:rsidR="00B33FB2">
        <w:rPr>
          <w:rFonts w:ascii="Arial" w:hAnsi="Arial" w:cs="Arial"/>
          <w:sz w:val="20"/>
          <w:szCs w:val="20"/>
        </w:rPr>
        <w:t>de Telefonía Rural de Sonora, en diciembre de 2015 se registró</w:t>
      </w:r>
      <w:r w:rsidRPr="00DF4E09">
        <w:rPr>
          <w:rFonts w:ascii="Arial" w:hAnsi="Arial" w:cs="Arial"/>
          <w:sz w:val="20"/>
          <w:szCs w:val="20"/>
        </w:rPr>
        <w:t xml:space="preserve"> la depreciación</w:t>
      </w:r>
      <w:r w:rsidR="00B33FB2">
        <w:rPr>
          <w:rFonts w:ascii="Arial" w:hAnsi="Arial" w:cs="Arial"/>
          <w:sz w:val="20"/>
          <w:szCs w:val="20"/>
        </w:rPr>
        <w:t xml:space="preserve"> acumulada</w:t>
      </w:r>
      <w:r w:rsidRPr="00DF4E09">
        <w:rPr>
          <w:rFonts w:ascii="Arial" w:hAnsi="Arial" w:cs="Arial"/>
          <w:sz w:val="20"/>
          <w:szCs w:val="20"/>
        </w:rPr>
        <w:t xml:space="preserve">, y el deterioro de los Activos, </w:t>
      </w:r>
      <w:r w:rsidR="00B33FB2">
        <w:rPr>
          <w:rFonts w:ascii="Arial" w:hAnsi="Arial" w:cs="Arial"/>
          <w:sz w:val="20"/>
          <w:szCs w:val="20"/>
        </w:rPr>
        <w:t>y presenta un</w:t>
      </w:r>
      <w:r w:rsidR="00E92BE9">
        <w:rPr>
          <w:rFonts w:ascii="Arial" w:hAnsi="Arial" w:cs="Arial"/>
          <w:sz w:val="20"/>
          <w:szCs w:val="20"/>
        </w:rPr>
        <w:t xml:space="preserve">a cantidad considerable </w:t>
      </w:r>
      <w:r w:rsidR="00B33FB2">
        <w:rPr>
          <w:rFonts w:ascii="Arial" w:hAnsi="Arial" w:cs="Arial"/>
          <w:sz w:val="20"/>
          <w:szCs w:val="20"/>
        </w:rPr>
        <w:t xml:space="preserve">ya que la mayoría del </w:t>
      </w:r>
      <w:r w:rsidR="00E92BE9">
        <w:rPr>
          <w:rFonts w:ascii="Arial" w:hAnsi="Arial" w:cs="Arial"/>
          <w:sz w:val="20"/>
          <w:szCs w:val="20"/>
        </w:rPr>
        <w:t xml:space="preserve"> equipo data de </w:t>
      </w:r>
      <w:r w:rsidR="00811F4B">
        <w:rPr>
          <w:rFonts w:ascii="Arial" w:hAnsi="Arial" w:cs="Arial"/>
          <w:sz w:val="20"/>
          <w:szCs w:val="20"/>
        </w:rPr>
        <w:t>más</w:t>
      </w:r>
      <w:r w:rsidR="00E92BE9">
        <w:rPr>
          <w:rFonts w:ascii="Arial" w:hAnsi="Arial" w:cs="Arial"/>
          <w:sz w:val="20"/>
          <w:szCs w:val="20"/>
        </w:rPr>
        <w:t xml:space="preserve"> de 20 años, y mucho de </w:t>
      </w:r>
      <w:r w:rsidR="00811F4B">
        <w:rPr>
          <w:rFonts w:ascii="Arial" w:hAnsi="Arial" w:cs="Arial"/>
          <w:sz w:val="20"/>
          <w:szCs w:val="20"/>
        </w:rPr>
        <w:t>él</w:t>
      </w:r>
      <w:r w:rsidR="00E92BE9">
        <w:rPr>
          <w:rFonts w:ascii="Arial" w:hAnsi="Arial" w:cs="Arial"/>
          <w:sz w:val="20"/>
          <w:szCs w:val="20"/>
        </w:rPr>
        <w:t xml:space="preserve"> se encuentra en uso.</w:t>
      </w:r>
    </w:p>
    <w:p w:rsidR="00E92BE9" w:rsidRPr="00DF4E09" w:rsidRDefault="00E92BE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gastos capitalizados en el ejercicio. Así como inversiones.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9.- Fideicomisos, Mandatos y Análogos.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10.- Reporte de la recaudación. En el presente ejercicio este</w:t>
      </w:r>
      <w:r w:rsidR="00910FD5">
        <w:rPr>
          <w:rFonts w:ascii="Arial" w:hAnsi="Arial" w:cs="Arial"/>
          <w:sz w:val="20"/>
          <w:szCs w:val="20"/>
        </w:rPr>
        <w:t xml:space="preserve"> Organismo logro recaudar un  99% sobre</w:t>
      </w:r>
      <w:r w:rsidRPr="00DF4E09">
        <w:rPr>
          <w:rFonts w:ascii="Arial" w:hAnsi="Arial" w:cs="Arial"/>
          <w:sz w:val="20"/>
          <w:szCs w:val="20"/>
        </w:rPr>
        <w:t xml:space="preserve"> los ingresos devengados.</w:t>
      </w:r>
      <w:r w:rsidR="00910FD5">
        <w:rPr>
          <w:rFonts w:ascii="Arial" w:hAnsi="Arial" w:cs="Arial"/>
          <w:sz w:val="20"/>
          <w:szCs w:val="20"/>
        </w:rPr>
        <w:t xml:space="preserve"> Esto debido a que se recaudo ingresos propios de ejercicio anteriores; sin este monto la recaudación real sobre ingresos devengados en 2016 es de 87% aun así, s</w:t>
      </w:r>
      <w:r w:rsidRPr="00DF4E09">
        <w:rPr>
          <w:rFonts w:ascii="Arial" w:hAnsi="Arial" w:cs="Arial"/>
          <w:sz w:val="20"/>
          <w:szCs w:val="20"/>
        </w:rPr>
        <w:t>e continúa el trámite en vías de la recaudación del importe pendiente</w:t>
      </w:r>
      <w:r w:rsidR="00910FD5">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11.- Información sobre la deuda y el repo</w:t>
      </w:r>
      <w:r w:rsidR="00B20E07">
        <w:rPr>
          <w:rFonts w:ascii="Arial" w:hAnsi="Arial" w:cs="Arial"/>
          <w:sz w:val="20"/>
          <w:szCs w:val="20"/>
        </w:rPr>
        <w:t>r</w:t>
      </w:r>
      <w:r w:rsidRPr="00DF4E09">
        <w:rPr>
          <w:rFonts w:ascii="Arial" w:hAnsi="Arial" w:cs="Arial"/>
          <w:sz w:val="20"/>
          <w:szCs w:val="20"/>
        </w:rPr>
        <w:t>te analítico de la deuda.- La deuda del organismo se compone de pagos a proveedores y retenciones efectuadas a los trabajadores que se encuentran en proceso de pago.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12.- Calificaciones otorgadas.-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13.- Proceso de mejora.- No se cuenta con proceso específico de mejora, se llevan a cabo las reducciones y medidas dictadas para el Gobierno del Estado.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14.- Información por segmentos.- No se considera necesario.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15.- Eventos posteriores al cierre.-</w:t>
      </w:r>
      <w:r w:rsidR="00B20E07">
        <w:rPr>
          <w:rFonts w:ascii="Arial" w:hAnsi="Arial" w:cs="Arial"/>
          <w:sz w:val="20"/>
          <w:szCs w:val="20"/>
        </w:rPr>
        <w:t xml:space="preserve">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16.- Partes relacionadas.- No existen partes relacionadas que pudieran ejercer influencia significativa sobre la toma de decisiones  financieras y operativas.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17.- Responsabilidad sobre la Presentación Razonable de la Información Contable.- </w:t>
      </w:r>
    </w:p>
    <w:p w:rsidR="005D62AC" w:rsidRDefault="005D62AC" w:rsidP="00DF4E09">
      <w:pPr>
        <w:jc w:val="both"/>
        <w:rPr>
          <w:rFonts w:ascii="Arial" w:hAnsi="Arial" w:cs="Arial"/>
          <w:sz w:val="20"/>
          <w:szCs w:val="20"/>
        </w:rPr>
      </w:pPr>
    </w:p>
    <w:p w:rsidR="005D62AC" w:rsidRDefault="005D62AC"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Bajo protesta de decir la verdad declaramos que los Estados Financieros y sus Notas, son razonablemente correctos y son responsabilidad del emisor</w:t>
      </w:r>
      <w:r w:rsidR="00986D0E">
        <w:rPr>
          <w:rFonts w:ascii="Arial" w:hAnsi="Arial" w:cs="Arial"/>
          <w:sz w:val="20"/>
          <w:szCs w:val="20"/>
        </w:rPr>
        <w:t>.</w:t>
      </w:r>
    </w:p>
    <w:p w:rsidR="00B20E07" w:rsidRDefault="00B20E07" w:rsidP="00DF4E09">
      <w:pPr>
        <w:jc w:val="both"/>
        <w:rPr>
          <w:rFonts w:ascii="Arial" w:hAnsi="Arial" w:cs="Arial"/>
          <w:sz w:val="20"/>
          <w:szCs w:val="20"/>
        </w:rPr>
      </w:pPr>
    </w:p>
    <w:p w:rsidR="00B20E07" w:rsidRPr="00DF4E09" w:rsidRDefault="00B20E07" w:rsidP="00DF4E09">
      <w:pPr>
        <w:jc w:val="both"/>
        <w:rPr>
          <w:rFonts w:ascii="Arial" w:hAnsi="Arial" w:cs="Arial"/>
          <w:sz w:val="20"/>
          <w:szCs w:val="20"/>
        </w:rPr>
      </w:pPr>
      <w:r>
        <w:rPr>
          <w:rFonts w:ascii="Arial" w:hAnsi="Arial" w:cs="Arial"/>
          <w:sz w:val="20"/>
          <w:szCs w:val="20"/>
        </w:rPr>
        <w:t>Firmas:</w:t>
      </w:r>
    </w:p>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p>
    <w:p w:rsidR="00F24273" w:rsidRDefault="00F24273" w:rsidP="00DF4E09">
      <w:pPr>
        <w:jc w:val="both"/>
        <w:rPr>
          <w:rFonts w:ascii="Arial" w:hAnsi="Arial" w:cs="Arial"/>
          <w:sz w:val="20"/>
          <w:szCs w:val="20"/>
        </w:rPr>
      </w:pPr>
    </w:p>
    <w:p w:rsidR="00744DEC" w:rsidRPr="00DF4E09" w:rsidRDefault="00744DEC" w:rsidP="00DF4E09">
      <w:pPr>
        <w:jc w:val="both"/>
        <w:rPr>
          <w:rFonts w:ascii="Arial" w:hAnsi="Arial" w:cs="Arial"/>
          <w:sz w:val="20"/>
          <w:szCs w:val="20"/>
        </w:rPr>
      </w:pPr>
    </w:p>
    <w:p w:rsidR="00DF4E09" w:rsidRPr="00DF4E09" w:rsidRDefault="00F24273" w:rsidP="00DF4E09">
      <w:pPr>
        <w:ind w:firstLine="708"/>
        <w:jc w:val="both"/>
        <w:rPr>
          <w:rFonts w:ascii="Arial" w:hAnsi="Arial" w:cs="Arial"/>
          <w:sz w:val="20"/>
          <w:szCs w:val="20"/>
        </w:rPr>
      </w:pPr>
      <w:r>
        <w:rPr>
          <w:rFonts w:ascii="Arial" w:hAnsi="Arial" w:cs="Arial"/>
          <w:sz w:val="20"/>
          <w:szCs w:val="20"/>
        </w:rPr>
        <w:t>C.P. José Francisco Ortega Molina</w:t>
      </w:r>
      <w:r w:rsidR="00DF4E09" w:rsidRPr="00DF4E09">
        <w:rPr>
          <w:rFonts w:ascii="Arial" w:hAnsi="Arial" w:cs="Arial"/>
          <w:sz w:val="20"/>
          <w:szCs w:val="20"/>
        </w:rPr>
        <w:tab/>
      </w:r>
      <w:r w:rsidR="00DF4E09" w:rsidRPr="00DF4E09">
        <w:rPr>
          <w:rFonts w:ascii="Arial" w:hAnsi="Arial" w:cs="Arial"/>
          <w:sz w:val="20"/>
          <w:szCs w:val="20"/>
        </w:rPr>
        <w:tab/>
        <w:t>C.P. Refugio Carmelo Arriquives</w:t>
      </w:r>
    </w:p>
    <w:p w:rsidR="00DF4E09" w:rsidRPr="00DF4E09" w:rsidRDefault="004914E9" w:rsidP="00DF4E09">
      <w:pPr>
        <w:ind w:firstLine="708"/>
        <w:jc w:val="both"/>
        <w:rPr>
          <w:rFonts w:ascii="Arial" w:hAnsi="Arial" w:cs="Arial"/>
          <w:sz w:val="20"/>
          <w:szCs w:val="20"/>
        </w:rPr>
      </w:pPr>
      <w:r>
        <w:rPr>
          <w:rFonts w:ascii="Arial" w:hAnsi="Arial" w:cs="Arial"/>
          <w:sz w:val="20"/>
          <w:szCs w:val="20"/>
        </w:rPr>
        <w:tab/>
      </w:r>
      <w:r w:rsidR="00DF4E09" w:rsidRPr="00DF4E09">
        <w:rPr>
          <w:rFonts w:ascii="Arial" w:hAnsi="Arial" w:cs="Arial"/>
          <w:sz w:val="20"/>
          <w:szCs w:val="20"/>
        </w:rPr>
        <w:t xml:space="preserve"> Director General</w:t>
      </w:r>
      <w:r w:rsidR="00DF4E09" w:rsidRPr="00DF4E09">
        <w:rPr>
          <w:rFonts w:ascii="Arial" w:hAnsi="Arial" w:cs="Arial"/>
          <w:sz w:val="20"/>
          <w:szCs w:val="20"/>
        </w:rPr>
        <w:tab/>
      </w:r>
      <w:r w:rsidR="00DF4E09" w:rsidRPr="00DF4E09">
        <w:rPr>
          <w:rFonts w:ascii="Arial" w:hAnsi="Arial" w:cs="Arial"/>
          <w:sz w:val="20"/>
          <w:szCs w:val="20"/>
        </w:rPr>
        <w:tab/>
        <w:t>Encargada de la Subdirección Administrativa</w:t>
      </w:r>
    </w:p>
    <w:p w:rsidR="00214C34" w:rsidRPr="00DF4E09" w:rsidRDefault="00214C34" w:rsidP="001053CE">
      <w:pPr>
        <w:pStyle w:val="Sinespaciado"/>
        <w:rPr>
          <w:rFonts w:ascii="Arial" w:hAnsi="Arial" w:cs="Arial"/>
          <w:sz w:val="20"/>
          <w:szCs w:val="20"/>
        </w:rPr>
      </w:pPr>
    </w:p>
    <w:p w:rsidR="007765C0" w:rsidRPr="00DF4E09" w:rsidRDefault="007765C0" w:rsidP="001053CE">
      <w:pPr>
        <w:pStyle w:val="Sinespaciado"/>
        <w:rPr>
          <w:rFonts w:ascii="Arial" w:hAnsi="Arial" w:cs="Arial"/>
          <w:sz w:val="20"/>
          <w:szCs w:val="20"/>
        </w:rPr>
      </w:pPr>
    </w:p>
    <w:p w:rsidR="00214C34" w:rsidRPr="00DF4E09" w:rsidRDefault="00214C34" w:rsidP="00214C34">
      <w:pPr>
        <w:pStyle w:val="Default"/>
        <w:rPr>
          <w:sz w:val="20"/>
          <w:szCs w:val="20"/>
        </w:rPr>
      </w:pPr>
    </w:p>
    <w:sectPr w:rsidR="00214C34" w:rsidRPr="00DF4E09" w:rsidSect="001053CE">
      <w:headerReference w:type="default" r:id="rId10"/>
      <w:footerReference w:type="default" r:id="rId11"/>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0F6" w:rsidRDefault="004940F6" w:rsidP="00AE0A10">
      <w:r>
        <w:separator/>
      </w:r>
    </w:p>
  </w:endnote>
  <w:endnote w:type="continuationSeparator" w:id="1">
    <w:p w:rsidR="004940F6" w:rsidRDefault="004940F6" w:rsidP="00AE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EB" w:rsidRDefault="00871204">
    <w:pPr>
      <w:pStyle w:val="Piedepgina"/>
      <w:jc w:val="right"/>
    </w:pPr>
    <w:sdt>
      <w:sdtPr>
        <w:id w:val="11503860"/>
        <w:docPartObj>
          <w:docPartGallery w:val="Page Numbers (Bottom of Page)"/>
          <w:docPartUnique/>
        </w:docPartObj>
      </w:sdtPr>
      <w:sdtContent>
        <w:fldSimple w:instr=" PAGE   \* MERGEFORMAT ">
          <w:r w:rsidR="0052763B">
            <w:rPr>
              <w:noProof/>
            </w:rPr>
            <w:t>8</w:t>
          </w:r>
        </w:fldSimple>
      </w:sdtContent>
    </w:sdt>
  </w:p>
  <w:p w:rsidR="008916EB" w:rsidRDefault="008916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0F6" w:rsidRDefault="004940F6" w:rsidP="00AE0A10">
      <w:r>
        <w:separator/>
      </w:r>
    </w:p>
  </w:footnote>
  <w:footnote w:type="continuationSeparator" w:id="1">
    <w:p w:rsidR="004940F6" w:rsidRDefault="004940F6"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EB" w:rsidRPr="00AE0A10" w:rsidRDefault="008916EB">
    <w:pPr>
      <w:pStyle w:val="Encabezado"/>
      <w:rPr>
        <w:rFonts w:ascii="Arial" w:hAnsi="Arial" w:cs="Arial"/>
        <w:b/>
        <w:sz w:val="18"/>
        <w:szCs w:val="18"/>
      </w:rPr>
    </w:pPr>
    <w:r>
      <w:tab/>
    </w:r>
    <w:r>
      <w:tab/>
    </w:r>
    <w:r>
      <w:tab/>
    </w:r>
    <w:r>
      <w:rPr>
        <w:rFonts w:ascii="Arial" w:hAnsi="Arial" w:cs="Arial"/>
        <w:b/>
        <w:sz w:val="18"/>
        <w:szCs w:val="18"/>
      </w:rPr>
      <w:t>ET</w:t>
    </w:r>
    <w:r w:rsidRPr="00AE0A10">
      <w:rPr>
        <w:rFonts w:ascii="Arial" w:hAnsi="Arial" w:cs="Arial"/>
        <w:b/>
        <w:sz w:val="18"/>
        <w:szCs w:val="18"/>
      </w:rPr>
      <w:t>CA-I-</w:t>
    </w:r>
    <w:r>
      <w:rPr>
        <w:rFonts w:ascii="Arial" w:hAnsi="Arial" w:cs="Arial"/>
        <w:b/>
        <w:sz w:val="18"/>
        <w:szCs w:val="18"/>
      </w:rPr>
      <w:t>09</w:t>
    </w:r>
  </w:p>
  <w:p w:rsidR="008916EB" w:rsidRPr="00AE0A10" w:rsidRDefault="008916EB"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8916EB" w:rsidRPr="00AE0A10" w:rsidRDefault="008916EB" w:rsidP="00AE0A10">
    <w:pPr>
      <w:pStyle w:val="Encabezado"/>
      <w:jc w:val="center"/>
      <w:rPr>
        <w:rFonts w:ascii="Arial" w:hAnsi="Arial" w:cs="Arial"/>
        <w:b/>
        <w:sz w:val="18"/>
        <w:szCs w:val="18"/>
      </w:rPr>
    </w:pPr>
    <w:r>
      <w:rPr>
        <w:rFonts w:ascii="Arial" w:hAnsi="Arial" w:cs="Arial"/>
        <w:b/>
        <w:sz w:val="18"/>
        <w:szCs w:val="18"/>
      </w:rPr>
      <w:t>Notas a los Estados Financieros</w:t>
    </w:r>
  </w:p>
  <w:p w:rsidR="008916EB" w:rsidRPr="00AE0A10" w:rsidRDefault="008916EB" w:rsidP="00AE0A10">
    <w:pPr>
      <w:pStyle w:val="Encabezado"/>
      <w:jc w:val="center"/>
      <w:rPr>
        <w:rFonts w:ascii="Arial" w:hAnsi="Arial" w:cs="Arial"/>
        <w:b/>
        <w:sz w:val="18"/>
        <w:szCs w:val="18"/>
      </w:rPr>
    </w:pPr>
    <w:r>
      <w:rPr>
        <w:rFonts w:ascii="Arial" w:hAnsi="Arial" w:cs="Arial"/>
        <w:b/>
        <w:sz w:val="18"/>
        <w:szCs w:val="18"/>
      </w:rPr>
      <w:t>Telefonía Rural de Sonora</w:t>
    </w:r>
  </w:p>
  <w:p w:rsidR="008916EB" w:rsidRPr="00AE0A10" w:rsidRDefault="008916EB" w:rsidP="00AE0A10">
    <w:pPr>
      <w:pStyle w:val="Encabezado"/>
      <w:jc w:val="right"/>
      <w:rPr>
        <w:rFonts w:ascii="Arial" w:hAnsi="Arial" w:cs="Arial"/>
        <w:b/>
        <w:sz w:val="18"/>
        <w:szCs w:val="18"/>
      </w:rPr>
    </w:pPr>
    <w:r>
      <w:rPr>
        <w:rFonts w:ascii="Arial" w:hAnsi="Arial" w:cs="Arial"/>
        <w:b/>
        <w:sz w:val="18"/>
        <w:szCs w:val="18"/>
      </w:rPr>
      <w:t>TRIMESTRE: TERCERO DE 2016</w:t>
    </w:r>
  </w:p>
  <w:p w:rsidR="008916EB" w:rsidRPr="00AE0A10" w:rsidRDefault="008916EB" w:rsidP="00635020">
    <w:pPr>
      <w:pStyle w:val="Encabezado"/>
      <w:jc w:val="center"/>
      <w:rPr>
        <w:rFonts w:ascii="Arial" w:hAnsi="Arial" w:cs="Arial"/>
        <w:b/>
        <w:sz w:val="16"/>
        <w:szCs w:val="16"/>
      </w:rPr>
    </w:pPr>
    <w:r>
      <w:rPr>
        <w:rFonts w:ascii="Arial" w:hAnsi="Arial" w:cs="Arial"/>
        <w:b/>
        <w:sz w:val="16"/>
        <w:szCs w:val="16"/>
      </w:rPr>
      <w:t>Al  30 DE SEPTIEMBRE DE 2016</w:t>
    </w:r>
  </w:p>
  <w:p w:rsidR="008916EB" w:rsidRPr="00AE0A10" w:rsidRDefault="00871204" w:rsidP="00AE0A10">
    <w:pPr>
      <w:pStyle w:val="Encabezado"/>
      <w:jc w:val="center"/>
      <w:rPr>
        <w:rFonts w:ascii="Arial" w:hAnsi="Arial" w:cs="Arial"/>
        <w:sz w:val="16"/>
        <w:szCs w:val="16"/>
      </w:rPr>
    </w:pPr>
    <w:r>
      <w:rPr>
        <w:rFonts w:ascii="Arial" w:hAnsi="Arial" w:cs="Arial"/>
        <w:noProof/>
        <w:sz w:val="16"/>
        <w:szCs w:val="16"/>
        <w:lang w:val="es-MX" w:eastAsia="es-MX"/>
      </w:rPr>
      <w:pict>
        <v:shapetype id="_x0000_t32" coordsize="21600,21600" o:spt="32" o:oned="t" path="m,l21600,21600e" filled="f">
          <v:path arrowok="t" fillok="f" o:connecttype="none"/>
          <o:lock v:ext="edit" shapetype="t"/>
        </v:shapetype>
        <v:shape id="AutoShape 1" o:spid="_x0000_s4097" type="#_x0000_t32" style="position:absolute;left:0;text-align:left;margin-left:-11.15pt;margin-top:10.05pt;width:54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w:r>
    <w:r w:rsidR="008916EB" w:rsidRPr="00AE0A10">
      <w:rPr>
        <w:rFonts w:ascii="Arial" w:hAnsi="Arial" w:cs="Arial"/>
        <w:sz w:val="16"/>
        <w:szCs w:val="16"/>
      </w:rPr>
      <w:t>(PESOS)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F8064C"/>
    <w:multiLevelType w:val="hybridMultilevel"/>
    <w:tmpl w:val="EA626732"/>
    <w:lvl w:ilvl="0" w:tplc="5FF00CC2">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C4C46D2"/>
    <w:multiLevelType w:val="hybridMultilevel"/>
    <w:tmpl w:val="CAA83180"/>
    <w:lvl w:ilvl="0" w:tplc="C792A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EB62F0"/>
    <w:multiLevelType w:val="hybridMultilevel"/>
    <w:tmpl w:val="91FE5C0A"/>
    <w:lvl w:ilvl="0" w:tplc="94CCD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22"/>
  </w:num>
  <w:num w:numId="5">
    <w:abstractNumId w:val="15"/>
  </w:num>
  <w:num w:numId="6">
    <w:abstractNumId w:val="6"/>
  </w:num>
  <w:num w:numId="7">
    <w:abstractNumId w:val="20"/>
  </w:num>
  <w:num w:numId="8">
    <w:abstractNumId w:val="5"/>
  </w:num>
  <w:num w:numId="9">
    <w:abstractNumId w:val="14"/>
  </w:num>
  <w:num w:numId="10">
    <w:abstractNumId w:val="19"/>
  </w:num>
  <w:num w:numId="11">
    <w:abstractNumId w:val="23"/>
  </w:num>
  <w:num w:numId="12">
    <w:abstractNumId w:val="16"/>
  </w:num>
  <w:num w:numId="13">
    <w:abstractNumId w:val="3"/>
  </w:num>
  <w:num w:numId="14">
    <w:abstractNumId w:val="11"/>
  </w:num>
  <w:num w:numId="15">
    <w:abstractNumId w:val="21"/>
  </w:num>
  <w:num w:numId="16">
    <w:abstractNumId w:val="12"/>
  </w:num>
  <w:num w:numId="17">
    <w:abstractNumId w:val="0"/>
  </w:num>
  <w:num w:numId="18">
    <w:abstractNumId w:val="17"/>
  </w:num>
  <w:num w:numId="19">
    <w:abstractNumId w:val="9"/>
  </w:num>
  <w:num w:numId="20">
    <w:abstractNumId w:val="7"/>
  </w:num>
  <w:num w:numId="21">
    <w:abstractNumId w:val="13"/>
  </w:num>
  <w:num w:numId="22">
    <w:abstractNumId w:val="8"/>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0"/>
    <w:footnote w:id="1"/>
  </w:footnotePr>
  <w:endnotePr>
    <w:endnote w:id="0"/>
    <w:endnote w:id="1"/>
  </w:endnotePr>
  <w:compat/>
  <w:rsids>
    <w:rsidRoot w:val="004F3A86"/>
    <w:rsid w:val="00027034"/>
    <w:rsid w:val="00032A32"/>
    <w:rsid w:val="0003507C"/>
    <w:rsid w:val="000C1BF7"/>
    <w:rsid w:val="000D5CEA"/>
    <w:rsid w:val="000E2A4C"/>
    <w:rsid w:val="000F34AA"/>
    <w:rsid w:val="001053CE"/>
    <w:rsid w:val="0011573D"/>
    <w:rsid w:val="001208E4"/>
    <w:rsid w:val="00160245"/>
    <w:rsid w:val="0018499F"/>
    <w:rsid w:val="00184A7C"/>
    <w:rsid w:val="001B64C8"/>
    <w:rsid w:val="001C3ACB"/>
    <w:rsid w:val="001C6E8A"/>
    <w:rsid w:val="001F1972"/>
    <w:rsid w:val="0020374F"/>
    <w:rsid w:val="00214C34"/>
    <w:rsid w:val="0022253A"/>
    <w:rsid w:val="00224BDE"/>
    <w:rsid w:val="00230465"/>
    <w:rsid w:val="002423D2"/>
    <w:rsid w:val="0024362D"/>
    <w:rsid w:val="0027568E"/>
    <w:rsid w:val="002B1F93"/>
    <w:rsid w:val="002B4688"/>
    <w:rsid w:val="002B6CE6"/>
    <w:rsid w:val="002B7115"/>
    <w:rsid w:val="002C3BD9"/>
    <w:rsid w:val="002C7A02"/>
    <w:rsid w:val="002E4CF1"/>
    <w:rsid w:val="00331C1E"/>
    <w:rsid w:val="00357ADC"/>
    <w:rsid w:val="00363BE2"/>
    <w:rsid w:val="0037449F"/>
    <w:rsid w:val="00381FDC"/>
    <w:rsid w:val="003871C7"/>
    <w:rsid w:val="00390F2D"/>
    <w:rsid w:val="00393E9C"/>
    <w:rsid w:val="003965BF"/>
    <w:rsid w:val="0039728C"/>
    <w:rsid w:val="00397407"/>
    <w:rsid w:val="003A29AD"/>
    <w:rsid w:val="003B08EA"/>
    <w:rsid w:val="003D0390"/>
    <w:rsid w:val="003E185A"/>
    <w:rsid w:val="003F0FCD"/>
    <w:rsid w:val="004314AC"/>
    <w:rsid w:val="004622BB"/>
    <w:rsid w:val="004624C6"/>
    <w:rsid w:val="00462B35"/>
    <w:rsid w:val="00481DBB"/>
    <w:rsid w:val="004914E9"/>
    <w:rsid w:val="004940F6"/>
    <w:rsid w:val="004B4EED"/>
    <w:rsid w:val="004C677E"/>
    <w:rsid w:val="004D578F"/>
    <w:rsid w:val="004F3A86"/>
    <w:rsid w:val="004F58B6"/>
    <w:rsid w:val="0052305F"/>
    <w:rsid w:val="0052763B"/>
    <w:rsid w:val="00543C50"/>
    <w:rsid w:val="00563952"/>
    <w:rsid w:val="00567D98"/>
    <w:rsid w:val="005834B2"/>
    <w:rsid w:val="005C06BF"/>
    <w:rsid w:val="005D1DE1"/>
    <w:rsid w:val="005D62AC"/>
    <w:rsid w:val="005E5F2C"/>
    <w:rsid w:val="005F1017"/>
    <w:rsid w:val="00601755"/>
    <w:rsid w:val="00616D32"/>
    <w:rsid w:val="00635020"/>
    <w:rsid w:val="0064412A"/>
    <w:rsid w:val="006737CB"/>
    <w:rsid w:val="006A6664"/>
    <w:rsid w:val="006E0FE4"/>
    <w:rsid w:val="006E27F6"/>
    <w:rsid w:val="006E78BD"/>
    <w:rsid w:val="00737AB0"/>
    <w:rsid w:val="00744DEC"/>
    <w:rsid w:val="007620AF"/>
    <w:rsid w:val="007765C0"/>
    <w:rsid w:val="007E5903"/>
    <w:rsid w:val="007F2C5D"/>
    <w:rsid w:val="00811F4B"/>
    <w:rsid w:val="00825B48"/>
    <w:rsid w:val="00825CD0"/>
    <w:rsid w:val="00832384"/>
    <w:rsid w:val="00871204"/>
    <w:rsid w:val="008916EB"/>
    <w:rsid w:val="00892C9D"/>
    <w:rsid w:val="008B2A90"/>
    <w:rsid w:val="008C1663"/>
    <w:rsid w:val="008C7967"/>
    <w:rsid w:val="008E4566"/>
    <w:rsid w:val="008E6024"/>
    <w:rsid w:val="00910FD5"/>
    <w:rsid w:val="00974F44"/>
    <w:rsid w:val="00986D0E"/>
    <w:rsid w:val="009938A1"/>
    <w:rsid w:val="009E5179"/>
    <w:rsid w:val="00A20F02"/>
    <w:rsid w:val="00A41BDD"/>
    <w:rsid w:val="00A43B2E"/>
    <w:rsid w:val="00A51D3C"/>
    <w:rsid w:val="00A732D4"/>
    <w:rsid w:val="00A74697"/>
    <w:rsid w:val="00A76DED"/>
    <w:rsid w:val="00AB0DAE"/>
    <w:rsid w:val="00AC3A21"/>
    <w:rsid w:val="00AE0A10"/>
    <w:rsid w:val="00AE5873"/>
    <w:rsid w:val="00B20E07"/>
    <w:rsid w:val="00B30E19"/>
    <w:rsid w:val="00B33FB2"/>
    <w:rsid w:val="00B463FB"/>
    <w:rsid w:val="00B5062D"/>
    <w:rsid w:val="00B554EC"/>
    <w:rsid w:val="00BB2B9A"/>
    <w:rsid w:val="00BE274D"/>
    <w:rsid w:val="00C017CD"/>
    <w:rsid w:val="00C13152"/>
    <w:rsid w:val="00C236B7"/>
    <w:rsid w:val="00C5691B"/>
    <w:rsid w:val="00C602AD"/>
    <w:rsid w:val="00C62E93"/>
    <w:rsid w:val="00C641A9"/>
    <w:rsid w:val="00C6425F"/>
    <w:rsid w:val="00CD2F2D"/>
    <w:rsid w:val="00CD50D9"/>
    <w:rsid w:val="00CE4BC7"/>
    <w:rsid w:val="00D20120"/>
    <w:rsid w:val="00D81085"/>
    <w:rsid w:val="00D84FFB"/>
    <w:rsid w:val="00D924FC"/>
    <w:rsid w:val="00DA66DF"/>
    <w:rsid w:val="00DB0DB8"/>
    <w:rsid w:val="00DB7041"/>
    <w:rsid w:val="00DC45A6"/>
    <w:rsid w:val="00DE4154"/>
    <w:rsid w:val="00DF2C5E"/>
    <w:rsid w:val="00DF4E09"/>
    <w:rsid w:val="00DF7493"/>
    <w:rsid w:val="00E168C2"/>
    <w:rsid w:val="00E655D5"/>
    <w:rsid w:val="00E92BE9"/>
    <w:rsid w:val="00EC0E24"/>
    <w:rsid w:val="00EF3609"/>
    <w:rsid w:val="00EF566E"/>
    <w:rsid w:val="00F24273"/>
    <w:rsid w:val="00F410D6"/>
    <w:rsid w:val="00F76376"/>
    <w:rsid w:val="00F84130"/>
    <w:rsid w:val="00FB6DA5"/>
    <w:rsid w:val="00FE1188"/>
    <w:rsid w:val="00FE42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598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4799-4C2A-4EC7-996F-B5D2847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Refugio Carmelo A</cp:lastModifiedBy>
  <cp:revision>2</cp:revision>
  <cp:lastPrinted>2016-10-13T15:43:00Z</cp:lastPrinted>
  <dcterms:created xsi:type="dcterms:W3CDTF">2016-10-14T21:57:00Z</dcterms:created>
  <dcterms:modified xsi:type="dcterms:W3CDTF">2016-10-14T21:57:00Z</dcterms:modified>
</cp:coreProperties>
</file>