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C94B54">
        <w:t>14</w:t>
      </w:r>
      <w:r w:rsidR="00A74C16">
        <w:t>-004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C94B5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</w:t>
            </w:r>
            <w:r w:rsidR="00A74C1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r de Organización y Fomento Pesquero y </w:t>
            </w:r>
            <w:r w:rsidR="0084310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Acuícola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94B54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C394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C394C" w:rsidP="009B76F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Cadenas Productivas y Mercado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84310B" w:rsidRPr="0084310B" w:rsidRDefault="0084310B" w:rsidP="00B6565A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ind w:right="-7"/>
        <w:rPr>
          <w:rFonts w:ascii="Century Gothic" w:hAnsi="Century Gothic" w:cs="TimesNewRomanPSMT"/>
          <w:sz w:val="18"/>
          <w:szCs w:val="18"/>
        </w:rPr>
      </w:pPr>
      <w:r w:rsidRPr="0084310B">
        <w:rPr>
          <w:rFonts w:ascii="Century Gothic" w:hAnsi="Century Gothic" w:cs="Calibri"/>
          <w:sz w:val="18"/>
          <w:szCs w:val="18"/>
        </w:rPr>
        <w:t>Responsable de la promoción, fomento y desarrollo ordenado de las actividades acuícolas y pesqueras en la entidad, a fin de fortalecer al sector y contribuir al cumplimiento de la Ley de Pesca y Acuacultura para el Estado de Sonora y el Plan Estatal de Desarrollo vigente, con base en las atribuciones y responsabilidades expresadas en la Estructura Orgánica Básica de la SAGARHPA</w:t>
      </w:r>
      <w:r w:rsidRPr="0084310B">
        <w:rPr>
          <w:rFonts w:ascii="Century Gothic" w:hAnsi="Century Gothic" w:cs="TimesNewRomanPSMT"/>
          <w:sz w:val="18"/>
          <w:szCs w:val="18"/>
        </w:rPr>
        <w:t>.</w:t>
      </w:r>
      <w:bookmarkStart w:id="0" w:name="_GoBack"/>
      <w:bookmarkEnd w:id="0"/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84310B" w:rsidRDefault="0084310B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Promover y fomentar el óptimo desarrollo de las actividades acuícolas y pesqueras que se realicen en el Estado.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Coordinar las acciones que se realicen con los sectores público, social y privado, relativas a la exploración, investigación, explotación, cultivo, sanidad, industrialización y comercialización de los recursos pesqueros, de conformidad con los programas que al efecto se deriven del Plan Estatal de Desarrollo.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Proponer, elaborar y ejecutar los programas de la Secretaría y de las entidades que corresponde coordinar a ésta en materia acuícola y pesquera y realizar el seguimiento de las acciones que resulten de la ejecución de dichos programas.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Proponer y ejecutar, la elaboración de estudios y proyectos encaminados a prever y solucionar la problemática existente en materia acuícola y pesquera.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Organizar y celebrar ferias, exposiciones, congresos y muestras acuícolas y pesqueras.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Ejecutar acciones para la integración de las actividades acuícolas y pesqueras con los demás sectores productivos de la Entidad, a fin de mejorar las condiciones nutritivas de la población nacional y la eficiencia y competitividad en los mercados nacional e internacional.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Asesorar la creación y organización de empresas, brindándoles la asesoría que requieran.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Elaborar perfiles de proyectos, a efecto de evaluar su viabilidad técnica y económica, así como su congruencia con la política de fomento acuícola y pesquero del Estado.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 xml:space="preserve">Promover, en coordinación con las autoridades competentes, que el 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lastRenderedPageBreak/>
              <w:t>desarrollo acuícola y pesquero del Estado se lleve a cabo conforme a las normas y lineamientos establecidos para la preservación y mejoramiento del medio ambiente.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Promover la capacitación a los grupos sociales involucrados en las actividades acuícolas y pesqueras, en la adaptación, difusión y aplicación de nuevos métodos de captura, procesamiento y comercialización de sus productos.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TimesNewRomanPSMT"/>
                <w:b/>
                <w:bCs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Participar en coordinación con productores, Gobiernos Federal y Municipal en las acciones de sanidad e inocuidad favoreciendo las oportunidades de participación en el mercado.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Prestar el apoyo técnico, para la definición de las políticas, lineamientos y criterios necesarios para la formulación, revisión, actualización, seguimiento y evaluación de los programas del sector, de los programas y proyectos estratégicos que de ellos se deriven, así co</w:t>
            </w:r>
            <w:r>
              <w:rPr>
                <w:rFonts w:ascii="Century Gothic" w:hAnsi="Century Gothic" w:cs="Calibri"/>
                <w:sz w:val="18"/>
                <w:szCs w:val="18"/>
              </w:rPr>
              <w:t>mo del Programa Operativo Anual.</w:t>
            </w:r>
          </w:p>
          <w:p w:rsidR="0084310B" w:rsidRP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entury Gothic" w:hAnsi="Century Gothic" w:cs="Calibri"/>
                <w:sz w:val="18"/>
                <w:szCs w:val="18"/>
              </w:rPr>
            </w:pPr>
            <w:r w:rsidRPr="0084310B">
              <w:rPr>
                <w:rFonts w:ascii="Century Gothic" w:hAnsi="Century Gothic" w:cs="Arial"/>
                <w:sz w:val="18"/>
                <w:szCs w:val="18"/>
              </w:rPr>
              <w:t>Suscribir los documentos relativos al ejercicio de sus atribuciones y aquellos que le sean señalados por delegación.</w:t>
            </w:r>
          </w:p>
          <w:p w:rsidR="0084310B" w:rsidRDefault="0084310B" w:rsidP="00DD0A3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146" w:right="-7"/>
              <w:rPr>
                <w:rFonts w:ascii="Calibri" w:hAnsi="Calibri" w:cs="Calibri"/>
                <w:sz w:val="20"/>
                <w:szCs w:val="20"/>
              </w:rPr>
            </w:pPr>
            <w:r w:rsidRPr="0084310B">
              <w:rPr>
                <w:rFonts w:ascii="Century Gothic" w:hAnsi="Century Gothic" w:cs="Calibri"/>
                <w:sz w:val="18"/>
                <w:szCs w:val="18"/>
              </w:rPr>
              <w:t>Desarrollar todas aquellas funciones inherentes al área de su competencia.</w:t>
            </w:r>
          </w:p>
          <w:p w:rsidR="00D82951" w:rsidRDefault="00D82951" w:rsidP="0084310B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84310B" w:rsidRDefault="0084310B" w:rsidP="0084310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a)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 xml:space="preserve">Distintas Secretarías y Dependencias Estatales: </w:t>
            </w:r>
            <w:r w:rsidR="00DD0A34"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jecutar acc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iones o programas conjuntos en 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beneficio para el sector pesquero en la entidad.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84310B" w:rsidRPr="0084310B" w:rsidRDefault="0084310B" w:rsidP="0084310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ind w:right="-7"/>
              <w:rPr>
                <w:rFonts w:ascii="Century Gothic" w:hAnsi="Century Gothic" w:cs="TimesNewRomanPSMT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a)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>Distintas Secretarías Federales, Gobiernos Estatales o Municipales: e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jecutar acciones o programas conjuntos en beneficio para el sector acuícola y pesquero de la entidad</w:t>
            </w:r>
            <w:r w:rsidRPr="0084310B">
              <w:rPr>
                <w:rFonts w:ascii="Century Gothic" w:hAnsi="Century Gothic" w:cs="TimesNewRomanPSMT"/>
                <w:sz w:val="18"/>
                <w:szCs w:val="18"/>
              </w:rPr>
              <w:t>.</w:t>
            </w:r>
          </w:p>
          <w:p w:rsidR="0084310B" w:rsidRPr="0084310B" w:rsidRDefault="0084310B" w:rsidP="0084310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right="-7"/>
              <w:rPr>
                <w:rFonts w:ascii="Century Gothic" w:hAnsi="Century Gothic" w:cs="CenturyGothic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b)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>Instituciones Educativas y de Investigación: c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oordinar acc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iones conjuntas y colaborar en 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materia de capacitación e investigación para el sector</w:t>
            </w:r>
            <w:r w:rsidRPr="0084310B">
              <w:rPr>
                <w:rFonts w:ascii="Century Gothic" w:hAnsi="Century Gothic" w:cs="TimesNewRomanPSMT"/>
                <w:sz w:val="18"/>
                <w:szCs w:val="18"/>
              </w:rPr>
              <w:t>.</w:t>
            </w:r>
          </w:p>
          <w:p w:rsidR="0084310B" w:rsidRPr="0084310B" w:rsidRDefault="0084310B" w:rsidP="0084310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right="-7"/>
              <w:rPr>
                <w:rFonts w:ascii="Century Gothic" w:hAnsi="Century Gothic" w:cs="TimesNewRomanPSMT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c)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>Cámaras de la Industria o Comercio: c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oordinar y ejecutar a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cciones, programas o proyectos 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dirigidos al sector</w:t>
            </w:r>
            <w:r w:rsidRPr="0084310B">
              <w:rPr>
                <w:rFonts w:ascii="Century Gothic" w:hAnsi="Century Gothic" w:cs="TimesNewRomanPSMT"/>
                <w:sz w:val="18"/>
                <w:szCs w:val="18"/>
              </w:rPr>
              <w:t>.</w:t>
            </w:r>
          </w:p>
          <w:p w:rsidR="0084310B" w:rsidRPr="0084310B" w:rsidRDefault="0084310B" w:rsidP="0084310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right="-7"/>
              <w:rPr>
                <w:rFonts w:ascii="Century Gothic" w:hAnsi="Century Gothic" w:cs="TimesNewRomanPSMT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d)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>Grupos organizados, Asociaciones Civiles, Pescadores, Productores Individuales del Sector Social y Privado: e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jecutar apoyos, proyectos y acciones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en general con los diferentes 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actores de manera grupal o individual</w:t>
            </w:r>
            <w:r w:rsidRPr="0084310B">
              <w:rPr>
                <w:rFonts w:ascii="Century Gothic" w:hAnsi="Century Gothic" w:cs="TimesNewRomanPSMT"/>
                <w:sz w:val="18"/>
                <w:szCs w:val="18"/>
              </w:rPr>
              <w:t>.</w:t>
            </w:r>
          </w:p>
          <w:p w:rsidR="0084310B" w:rsidRPr="0084310B" w:rsidRDefault="0084310B" w:rsidP="0084310B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ind w:right="-7"/>
              <w:rPr>
                <w:rFonts w:ascii="Century Gothic" w:hAnsi="Century Gothic" w:cs="TimesNewRomanPSMT"/>
                <w:sz w:val="18"/>
                <w:szCs w:val="18"/>
              </w:rPr>
            </w:pPr>
            <w:r w:rsidRPr="0084310B">
              <w:rPr>
                <w:rFonts w:ascii="Century Gothic" w:hAnsi="Century Gothic" w:cs="CenturyGothic"/>
                <w:sz w:val="18"/>
                <w:szCs w:val="18"/>
              </w:rPr>
              <w:t xml:space="preserve">e) </w:t>
            </w:r>
            <w:r w:rsidR="00DD0A34">
              <w:rPr>
                <w:rFonts w:ascii="Century Gothic" w:hAnsi="Century Gothic" w:cs="CenturyGothic"/>
                <w:sz w:val="18"/>
                <w:szCs w:val="18"/>
              </w:rPr>
              <w:t>Instituciones Crediticias: e</w:t>
            </w:r>
            <w:r w:rsidRPr="0084310B">
              <w:rPr>
                <w:rFonts w:ascii="Century Gothic" w:hAnsi="Century Gothic" w:cs="Calibri"/>
                <w:sz w:val="18"/>
                <w:szCs w:val="18"/>
              </w:rPr>
              <w:t>jecutar acciones conjuntas para el financiamiento para el sector.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84310B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apoyos otorgados.</w:t>
            </w:r>
          </w:p>
          <w:p w:rsidR="00687018" w:rsidRDefault="0084310B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Numero de eventos atendidos.</w:t>
            </w:r>
          </w:p>
          <w:p w:rsidR="00687018" w:rsidRPr="00B30C93" w:rsidRDefault="0084310B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grupos o personas atendidas.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4310B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28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DD0A3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90" w:hanging="21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 w:rsidRPr="0084310B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>Lic</w:t>
      </w:r>
      <w:r w:rsidR="0084310B">
        <w:rPr>
          <w:rFonts w:ascii="Century Gothic" w:eastAsia="HiraginoSans-W3" w:hAnsi="Century Gothic" w:cs="CenturyGothic"/>
          <w:sz w:val="18"/>
          <w:szCs w:val="18"/>
        </w:rPr>
        <w:t>enciatura en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 xml:space="preserve"> Biología, Ing</w:t>
      </w:r>
      <w:r w:rsidR="0084310B">
        <w:rPr>
          <w:rFonts w:ascii="Century Gothic" w:eastAsia="HiraginoSans-W3" w:hAnsi="Century Gothic" w:cs="CenturyGothic"/>
          <w:sz w:val="18"/>
          <w:szCs w:val="18"/>
        </w:rPr>
        <w:t>eniería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 xml:space="preserve"> Pesquera, Lic</w:t>
      </w:r>
      <w:r w:rsidR="0084310B">
        <w:rPr>
          <w:rFonts w:ascii="Century Gothic" w:eastAsia="HiraginoSans-W3" w:hAnsi="Century Gothic" w:cs="CenturyGothic"/>
          <w:sz w:val="18"/>
          <w:szCs w:val="18"/>
        </w:rPr>
        <w:t>enciatura en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 xml:space="preserve"> </w:t>
      </w:r>
      <w:proofErr w:type="spellStart"/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>Oceanología</w:t>
      </w:r>
      <w:proofErr w:type="spellEnd"/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>, Lic</w:t>
      </w:r>
      <w:r w:rsidR="0084310B">
        <w:rPr>
          <w:rFonts w:ascii="Century Gothic" w:eastAsia="HiraginoSans-W3" w:hAnsi="Century Gothic" w:cs="CenturyGothic"/>
          <w:sz w:val="18"/>
          <w:szCs w:val="18"/>
        </w:rPr>
        <w:t>enciatura en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 xml:space="preserve"> Ecología, Lic</w:t>
      </w:r>
      <w:r w:rsidR="0084310B">
        <w:rPr>
          <w:rFonts w:ascii="Century Gothic" w:eastAsia="HiraginoSans-W3" w:hAnsi="Century Gothic" w:cs="CenturyGothic"/>
          <w:sz w:val="18"/>
          <w:szCs w:val="18"/>
        </w:rPr>
        <w:t xml:space="preserve">enciatura en 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>Ciencias del Medio Ambiente, Lic</w:t>
      </w:r>
      <w:r w:rsidR="0084310B">
        <w:rPr>
          <w:rFonts w:ascii="Century Gothic" w:eastAsia="HiraginoSans-W3" w:hAnsi="Century Gothic" w:cs="CenturyGothic"/>
          <w:sz w:val="18"/>
          <w:szCs w:val="18"/>
        </w:rPr>
        <w:t>enciatura</w:t>
      </w:r>
      <w:r w:rsidR="0084310B" w:rsidRPr="0084310B">
        <w:rPr>
          <w:rFonts w:ascii="Century Gothic" w:eastAsia="HiraginoSans-W3" w:hAnsi="Century Gothic" w:cs="CenturyGothic"/>
          <w:sz w:val="18"/>
          <w:szCs w:val="18"/>
        </w:rPr>
        <w:t xml:space="preserve"> Administración de Empresas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4310B" w:rsidRPr="0084310B">
        <w:rPr>
          <w:rFonts w:ascii="Century Gothic" w:hAnsi="Century Gothic" w:cs="Century Gothic"/>
          <w:bCs/>
          <w:sz w:val="18"/>
          <w:szCs w:val="18"/>
        </w:rPr>
        <w:t>Pesquera, Medio Ambiental</w:t>
      </w:r>
      <w:r w:rsidR="0084310B">
        <w:rPr>
          <w:rFonts w:ascii="Century Gothic" w:hAnsi="Century Gothic" w:cs="Century Gothic"/>
          <w:b/>
          <w:bCs/>
          <w:sz w:val="18"/>
          <w:szCs w:val="18"/>
        </w:rPr>
        <w:t xml:space="preserve">,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D0A34">
        <w:rPr>
          <w:rFonts w:ascii="Century Gothic" w:hAnsi="Century Gothic" w:cs="Century Gothic"/>
          <w:sz w:val="18"/>
          <w:szCs w:val="18"/>
        </w:rPr>
        <w:t>2 años en Sector Pesquero o Acuícola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DD0A34">
        <w:rPr>
          <w:rFonts w:ascii="Century Gothic" w:hAnsi="Century Gothic" w:cs="Century Gothic"/>
          <w:sz w:val="18"/>
          <w:szCs w:val="18"/>
        </w:rPr>
        <w:t>1 año en manejo de personal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1B71D5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D0A34" w:rsidRDefault="00DD0A34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D0A34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1B71D5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B71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1B71D5" w:rsidRDefault="001B71D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B71D5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B71D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D0A34" w:rsidRDefault="001B71D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D0A34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1B71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1B71D5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51 a 100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1B71D5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B71D5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D0A34" w:rsidRDefault="001B71D5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DD0A34"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DD0A34" w:rsidRDefault="00DD0A3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D0A34" w:rsidRDefault="00DD0A3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D0A34" w:rsidRDefault="00DD0A3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C394C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Organización y Fomento Pesquero y Acuícola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C394C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Pesca y Acuacultura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C2" w:rsidRDefault="00AE1CC2" w:rsidP="0068032F">
      <w:pPr>
        <w:spacing w:after="0" w:line="240" w:lineRule="auto"/>
      </w:pPr>
      <w:r>
        <w:separator/>
      </w:r>
    </w:p>
  </w:endnote>
  <w:endnote w:type="continuationSeparator" w:id="0">
    <w:p w:rsidR="00AE1CC2" w:rsidRDefault="00AE1CC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ginoSans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B" w:rsidRDefault="009C394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de Organización y Fomento Pesquero y Acuícola</w:t>
    </w:r>
    <w:r w:rsidR="0084310B">
      <w:rPr>
        <w:rFonts w:asciiTheme="majorHAnsi" w:hAnsiTheme="majorHAnsi"/>
      </w:rPr>
      <w:ptab w:relativeTo="margin" w:alignment="right" w:leader="none"/>
    </w:r>
    <w:r w:rsidR="0084310B">
      <w:rPr>
        <w:rFonts w:asciiTheme="majorHAnsi" w:hAnsiTheme="majorHAnsi"/>
      </w:rPr>
      <w:t xml:space="preserve">Página </w:t>
    </w:r>
    <w:r w:rsidR="0084310B">
      <w:fldChar w:fldCharType="begin"/>
    </w:r>
    <w:r w:rsidR="0084310B">
      <w:instrText xml:space="preserve"> PAGE   \* MERGEFORMAT </w:instrText>
    </w:r>
    <w:r w:rsidR="0084310B">
      <w:fldChar w:fldCharType="separate"/>
    </w:r>
    <w:r w:rsidR="00B6565A" w:rsidRPr="00B6565A">
      <w:rPr>
        <w:rFonts w:asciiTheme="majorHAnsi" w:hAnsiTheme="majorHAnsi"/>
        <w:noProof/>
      </w:rPr>
      <w:t>5</w:t>
    </w:r>
    <w:r w:rsidR="0084310B">
      <w:rPr>
        <w:rFonts w:asciiTheme="majorHAnsi" w:hAnsiTheme="majorHAnsi"/>
        <w:noProof/>
      </w:rPr>
      <w:fldChar w:fldCharType="end"/>
    </w:r>
  </w:p>
  <w:p w:rsidR="0084310B" w:rsidRDefault="00843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C2" w:rsidRDefault="00AE1CC2" w:rsidP="0068032F">
      <w:pPr>
        <w:spacing w:after="0" w:line="240" w:lineRule="auto"/>
      </w:pPr>
      <w:r>
        <w:separator/>
      </w:r>
    </w:p>
  </w:footnote>
  <w:footnote w:type="continuationSeparator" w:id="0">
    <w:p w:rsidR="00AE1CC2" w:rsidRDefault="00AE1CC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0B" w:rsidRDefault="00AE1CC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310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84310B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9B76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84310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9B76F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84310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5E15FC"/>
    <w:lvl w:ilvl="0" w:tplc="B31CCA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B71D5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4310B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A4852"/>
    <w:rsid w:val="009B76F8"/>
    <w:rsid w:val="009C2ECB"/>
    <w:rsid w:val="009C394C"/>
    <w:rsid w:val="009C612B"/>
    <w:rsid w:val="009E7D30"/>
    <w:rsid w:val="00A333D4"/>
    <w:rsid w:val="00A45295"/>
    <w:rsid w:val="00A74C16"/>
    <w:rsid w:val="00A90AB2"/>
    <w:rsid w:val="00AB0D64"/>
    <w:rsid w:val="00AC7D22"/>
    <w:rsid w:val="00AD2C81"/>
    <w:rsid w:val="00AE1CC2"/>
    <w:rsid w:val="00AF3BE8"/>
    <w:rsid w:val="00B00DB2"/>
    <w:rsid w:val="00B12FBF"/>
    <w:rsid w:val="00B30C93"/>
    <w:rsid w:val="00B332CE"/>
    <w:rsid w:val="00B40EA5"/>
    <w:rsid w:val="00B6565A"/>
    <w:rsid w:val="00B85D22"/>
    <w:rsid w:val="00B8777B"/>
    <w:rsid w:val="00B87EB3"/>
    <w:rsid w:val="00BB3889"/>
    <w:rsid w:val="00C25AB6"/>
    <w:rsid w:val="00C42A89"/>
    <w:rsid w:val="00C51974"/>
    <w:rsid w:val="00C94B54"/>
    <w:rsid w:val="00CA1D00"/>
    <w:rsid w:val="00CC502A"/>
    <w:rsid w:val="00CD02BE"/>
    <w:rsid w:val="00D16940"/>
    <w:rsid w:val="00D76BC6"/>
    <w:rsid w:val="00D82951"/>
    <w:rsid w:val="00DB2188"/>
    <w:rsid w:val="00DD0A34"/>
    <w:rsid w:val="00DD3587"/>
    <w:rsid w:val="00DD6416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ginoSans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A6691C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139C"/>
    <w:rsid w:val="00E85809"/>
    <w:rsid w:val="00F23E09"/>
    <w:rsid w:val="00F3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2558B2-6B85-4A06-B349-47F85ABB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2017-03-07T00:59:00Z</dcterms:created>
  <dcterms:modified xsi:type="dcterms:W3CDTF">2017-06-22T16:36:00Z</dcterms:modified>
</cp:coreProperties>
</file>