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7F" w:rsidRPr="00D855E0" w:rsidRDefault="00DF3E7F" w:rsidP="00DF3E7F">
      <w:pPr>
        <w:pStyle w:val="NormalWeb"/>
        <w:jc w:val="center"/>
        <w:rPr>
          <w:rFonts w:ascii="Arial Narrow" w:hAnsi="Arial Narrow"/>
          <w:b/>
          <w:bCs/>
          <w:sz w:val="26"/>
          <w:szCs w:val="26"/>
        </w:rPr>
      </w:pPr>
      <w:r w:rsidRPr="00D855E0">
        <w:rPr>
          <w:rFonts w:ascii="Arial Narrow" w:hAnsi="Arial Narrow"/>
          <w:b/>
          <w:bCs/>
          <w:sz w:val="26"/>
          <w:szCs w:val="26"/>
        </w:rPr>
        <w:t>Anexo</w:t>
      </w:r>
      <w:r w:rsidR="00CC104D">
        <w:rPr>
          <w:rFonts w:ascii="Arial Narrow" w:hAnsi="Arial Narrow"/>
          <w:b/>
          <w:bCs/>
          <w:sz w:val="26"/>
          <w:szCs w:val="26"/>
        </w:rPr>
        <w:t xml:space="preserve"> al Oficio número ISJ / DG /793/10 de fecha 17 de Diciembre</w:t>
      </w:r>
      <w:r w:rsidRPr="00D855E0">
        <w:rPr>
          <w:rFonts w:ascii="Arial Narrow" w:hAnsi="Arial Narrow"/>
          <w:b/>
          <w:bCs/>
          <w:sz w:val="26"/>
          <w:szCs w:val="26"/>
        </w:rPr>
        <w:t xml:space="preserve"> del 2010.</w:t>
      </w:r>
    </w:p>
    <w:p w:rsidR="00DF3E7F" w:rsidRPr="00D855E0" w:rsidRDefault="00DF3E7F" w:rsidP="00DF3E7F">
      <w:pPr>
        <w:pStyle w:val="NormalWeb"/>
        <w:jc w:val="center"/>
        <w:rPr>
          <w:rFonts w:ascii="Arial Narrow" w:hAnsi="Arial Narrow"/>
          <w:b/>
          <w:bCs/>
          <w:sz w:val="26"/>
          <w:szCs w:val="26"/>
        </w:rPr>
      </w:pPr>
      <w:r w:rsidRPr="00D855E0">
        <w:rPr>
          <w:rFonts w:ascii="Arial Narrow" w:hAnsi="Arial Narrow"/>
          <w:b/>
          <w:bCs/>
          <w:sz w:val="26"/>
          <w:szCs w:val="26"/>
        </w:rPr>
        <w:t xml:space="preserve">Solventación de </w:t>
      </w:r>
      <w:r w:rsidR="00F47D8F">
        <w:rPr>
          <w:rFonts w:ascii="Arial Narrow" w:hAnsi="Arial Narrow"/>
          <w:b/>
          <w:bCs/>
          <w:sz w:val="26"/>
          <w:szCs w:val="26"/>
        </w:rPr>
        <w:t xml:space="preserve">12 observaciones </w:t>
      </w:r>
      <w:r w:rsidRPr="00D855E0">
        <w:rPr>
          <w:rFonts w:ascii="Arial Narrow" w:hAnsi="Arial Narrow"/>
          <w:b/>
          <w:bCs/>
          <w:sz w:val="26"/>
          <w:szCs w:val="26"/>
        </w:rPr>
        <w:t xml:space="preserve"> derivadas de la</w:t>
      </w:r>
      <w:r w:rsidR="00F47D8F">
        <w:rPr>
          <w:rFonts w:ascii="Arial Narrow" w:hAnsi="Arial Narrow"/>
          <w:b/>
          <w:bCs/>
          <w:sz w:val="26"/>
          <w:szCs w:val="26"/>
        </w:rPr>
        <w:t xml:space="preserve"> Primera </w:t>
      </w:r>
      <w:r w:rsidRPr="00D855E0">
        <w:rPr>
          <w:rFonts w:ascii="Arial Narrow" w:hAnsi="Arial Narrow"/>
          <w:b/>
          <w:bCs/>
          <w:sz w:val="26"/>
          <w:szCs w:val="26"/>
        </w:rPr>
        <w:t xml:space="preserve"> Revisión a los Informes Trimestrales co</w:t>
      </w:r>
      <w:r w:rsidR="00F47D8F">
        <w:rPr>
          <w:rFonts w:ascii="Arial Narrow" w:hAnsi="Arial Narrow"/>
          <w:b/>
          <w:bCs/>
          <w:sz w:val="26"/>
          <w:szCs w:val="26"/>
        </w:rPr>
        <w:t>rrespondientes al Ejercicio 2010.</w:t>
      </w:r>
    </w:p>
    <w:p w:rsidR="00DF3E7F" w:rsidRPr="00D855E0" w:rsidRDefault="005E3FC8" w:rsidP="00DF3E7F">
      <w:pPr>
        <w:pStyle w:val="NormalWeb"/>
        <w:jc w:val="both"/>
        <w:rPr>
          <w:rFonts w:ascii="Arial Narrow" w:hAnsi="Arial Narrow"/>
          <w:bCs/>
          <w:sz w:val="22"/>
          <w:szCs w:val="22"/>
        </w:rPr>
      </w:pPr>
      <w:r>
        <w:rPr>
          <w:rFonts w:ascii="Arial Narrow" w:hAnsi="Arial Narrow"/>
          <w:bCs/>
          <w:sz w:val="22"/>
          <w:szCs w:val="22"/>
        </w:rPr>
        <w:t xml:space="preserve">Detalle de 12   </w:t>
      </w:r>
      <w:r w:rsidR="00DF3E7F" w:rsidRPr="00D855E0">
        <w:rPr>
          <w:rFonts w:ascii="Arial Narrow" w:hAnsi="Arial Narrow"/>
          <w:bCs/>
          <w:sz w:val="22"/>
          <w:szCs w:val="22"/>
        </w:rPr>
        <w:t>observaciones</w:t>
      </w:r>
      <w:r w:rsidR="00157BE0">
        <w:rPr>
          <w:rFonts w:ascii="Arial Narrow" w:hAnsi="Arial Narrow"/>
          <w:bCs/>
          <w:sz w:val="22"/>
          <w:szCs w:val="22"/>
        </w:rPr>
        <w:t xml:space="preserve"> presentadas por el Instituto Sonorense de la Juventud al Instituto Superior de Auditoria  y Fiscalización</w:t>
      </w:r>
      <w:r w:rsidR="00DF3E7F" w:rsidRPr="00D855E0">
        <w:rPr>
          <w:rFonts w:ascii="Arial Narrow" w:hAnsi="Arial Narrow"/>
          <w:bCs/>
          <w:sz w:val="22"/>
          <w:szCs w:val="22"/>
        </w:rPr>
        <w:t>,  cuya Solventación o medidas dictadas, nos fueron requeridas mediante oficio</w:t>
      </w:r>
      <w:r w:rsidR="00157BE0">
        <w:rPr>
          <w:rFonts w:ascii="Arial Narrow" w:hAnsi="Arial Narrow"/>
          <w:bCs/>
          <w:sz w:val="22"/>
          <w:szCs w:val="22"/>
        </w:rPr>
        <w:t xml:space="preserve"> ISAF/AAE-3094-2010</w:t>
      </w:r>
      <w:r w:rsidR="00DF3E7F" w:rsidRPr="00D855E0">
        <w:rPr>
          <w:rFonts w:ascii="Arial Narrow" w:hAnsi="Arial Narrow"/>
          <w:bCs/>
          <w:sz w:val="22"/>
          <w:szCs w:val="22"/>
        </w:rPr>
        <w:t>.</w:t>
      </w:r>
    </w:p>
    <w:p w:rsidR="00660EE9" w:rsidRPr="001E636F" w:rsidRDefault="000567F2" w:rsidP="00660EE9">
      <w:pPr>
        <w:pStyle w:val="Prrafodelista"/>
        <w:numPr>
          <w:ilvl w:val="0"/>
          <w:numId w:val="2"/>
        </w:numPr>
        <w:jc w:val="both"/>
        <w:rPr>
          <w:rFonts w:ascii="Arial Narrow" w:hAnsi="Arial Narrow"/>
          <w:u w:val="single"/>
          <w:lang w:val="es-MX"/>
        </w:rPr>
      </w:pPr>
      <w:r w:rsidRPr="001E636F">
        <w:rPr>
          <w:rFonts w:ascii="Arial Narrow" w:hAnsi="Arial Narrow"/>
          <w:b/>
        </w:rPr>
        <w:t xml:space="preserve">  Al 31 de julio de 2010 se determino una diferencia no aclarada por el sujeto fiscalizado por $ 31,092, derivada de comparar el importe de las adquisiciones realizadas en el periodo de enero a julio del 2010 registradas en las cuentas de Activo Fijo que ascienden a $190,000, contra lo registrado en el Capitulo 5000 “Bienes Muebles e Inmuebles” por $ 159,808.</w:t>
      </w:r>
      <w:r w:rsidR="00660EE9" w:rsidRPr="001E636F">
        <w:rPr>
          <w:rFonts w:ascii="Arial Narrow" w:hAnsi="Arial Narrow"/>
          <w:b/>
        </w:rPr>
        <w:t xml:space="preserve">  </w:t>
      </w:r>
    </w:p>
    <w:p w:rsidR="001E636F" w:rsidRPr="001E636F" w:rsidRDefault="001E636F" w:rsidP="001E636F">
      <w:pPr>
        <w:pStyle w:val="Prrafodelista"/>
        <w:ind w:left="644"/>
        <w:jc w:val="both"/>
        <w:rPr>
          <w:rFonts w:ascii="Arial Narrow" w:hAnsi="Arial Narrow"/>
          <w:u w:val="single"/>
          <w:lang w:val="es-MX"/>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2765"/>
        <w:gridCol w:w="3685"/>
        <w:gridCol w:w="2638"/>
      </w:tblGrid>
      <w:tr w:rsidR="00660EE9" w:rsidRPr="00D855E0" w:rsidTr="001E636F">
        <w:trPr>
          <w:trHeight w:val="723"/>
        </w:trPr>
        <w:tc>
          <w:tcPr>
            <w:tcW w:w="496" w:type="dxa"/>
            <w:shd w:val="clear" w:color="auto" w:fill="CCCCCC"/>
            <w:vAlign w:val="center"/>
          </w:tcPr>
          <w:p w:rsidR="00660EE9" w:rsidRPr="00D855E0" w:rsidRDefault="00660EE9" w:rsidP="006E56F1">
            <w:pPr>
              <w:jc w:val="center"/>
              <w:rPr>
                <w:rFonts w:ascii="Arial Narrow" w:hAnsi="Arial Narrow" w:cs="Arial"/>
                <w:b/>
                <w:sz w:val="20"/>
                <w:szCs w:val="20"/>
              </w:rPr>
            </w:pPr>
            <w:r w:rsidRPr="00D855E0">
              <w:rPr>
                <w:rFonts w:ascii="Arial Narrow" w:hAnsi="Arial Narrow" w:cs="Arial"/>
                <w:b/>
                <w:sz w:val="20"/>
                <w:szCs w:val="20"/>
              </w:rPr>
              <w:t>No.</w:t>
            </w:r>
          </w:p>
        </w:tc>
        <w:tc>
          <w:tcPr>
            <w:tcW w:w="2765" w:type="dxa"/>
            <w:shd w:val="clear" w:color="auto" w:fill="CCCCCC"/>
            <w:vAlign w:val="center"/>
          </w:tcPr>
          <w:p w:rsidR="00660EE9" w:rsidRPr="00D855E0" w:rsidRDefault="00660EE9" w:rsidP="006E56F1">
            <w:pPr>
              <w:jc w:val="center"/>
              <w:rPr>
                <w:rFonts w:ascii="Arial Narrow" w:hAnsi="Arial Narrow" w:cs="Arial"/>
                <w:b/>
                <w:sz w:val="20"/>
                <w:szCs w:val="20"/>
              </w:rPr>
            </w:pPr>
            <w:r w:rsidRPr="00D855E0">
              <w:rPr>
                <w:rFonts w:ascii="Arial Narrow" w:hAnsi="Arial Narrow" w:cs="Arial"/>
                <w:b/>
                <w:sz w:val="20"/>
                <w:szCs w:val="20"/>
              </w:rPr>
              <w:t>OBSERVACIÓN</w:t>
            </w:r>
          </w:p>
        </w:tc>
        <w:tc>
          <w:tcPr>
            <w:tcW w:w="3685" w:type="dxa"/>
            <w:shd w:val="clear" w:color="auto" w:fill="CCCCCC"/>
          </w:tcPr>
          <w:p w:rsidR="00660EE9" w:rsidRPr="00D855E0" w:rsidRDefault="00660EE9" w:rsidP="006E56F1">
            <w:pPr>
              <w:jc w:val="center"/>
              <w:rPr>
                <w:rFonts w:ascii="Arial Narrow" w:hAnsi="Arial Narrow" w:cs="Arial"/>
                <w:b/>
                <w:sz w:val="20"/>
                <w:szCs w:val="20"/>
              </w:rPr>
            </w:pPr>
          </w:p>
          <w:p w:rsidR="00660EE9" w:rsidRPr="00D855E0" w:rsidRDefault="00660EE9" w:rsidP="006E56F1">
            <w:pPr>
              <w:jc w:val="center"/>
              <w:rPr>
                <w:rFonts w:ascii="Arial Narrow" w:hAnsi="Arial Narrow" w:cs="Arial"/>
                <w:b/>
                <w:sz w:val="20"/>
                <w:szCs w:val="20"/>
              </w:rPr>
            </w:pPr>
            <w:r w:rsidRPr="00D855E0">
              <w:rPr>
                <w:rFonts w:ascii="Arial Narrow" w:hAnsi="Arial Narrow" w:cs="Arial"/>
                <w:b/>
                <w:sz w:val="20"/>
                <w:szCs w:val="20"/>
              </w:rPr>
              <w:t>JUSTIFICACIÓN</w:t>
            </w:r>
          </w:p>
          <w:p w:rsidR="00660EE9" w:rsidRPr="00D855E0" w:rsidRDefault="00660EE9" w:rsidP="006E56F1">
            <w:pPr>
              <w:rPr>
                <w:rFonts w:ascii="Arial Narrow" w:hAnsi="Arial Narrow" w:cs="Arial"/>
                <w:b/>
                <w:sz w:val="20"/>
                <w:szCs w:val="20"/>
              </w:rPr>
            </w:pPr>
          </w:p>
        </w:tc>
        <w:tc>
          <w:tcPr>
            <w:tcW w:w="2638" w:type="dxa"/>
            <w:shd w:val="clear" w:color="auto" w:fill="CCCCCC"/>
            <w:vAlign w:val="center"/>
          </w:tcPr>
          <w:p w:rsidR="00660EE9" w:rsidRPr="00D855E0" w:rsidRDefault="00660EE9" w:rsidP="006E56F1">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660EE9" w:rsidRPr="00D855E0" w:rsidTr="001E636F">
        <w:trPr>
          <w:trHeight w:val="230"/>
        </w:trPr>
        <w:tc>
          <w:tcPr>
            <w:tcW w:w="496" w:type="dxa"/>
            <w:vAlign w:val="center"/>
          </w:tcPr>
          <w:p w:rsidR="00660EE9" w:rsidRPr="00D855E0" w:rsidRDefault="00660EE9" w:rsidP="006E56F1">
            <w:pPr>
              <w:spacing w:line="240" w:lineRule="exact"/>
              <w:jc w:val="center"/>
              <w:rPr>
                <w:rFonts w:ascii="Arial Narrow" w:hAnsi="Arial Narrow" w:cs="Arial"/>
              </w:rPr>
            </w:pPr>
            <w:r w:rsidRPr="00D855E0">
              <w:rPr>
                <w:rFonts w:ascii="Arial Narrow" w:hAnsi="Arial Narrow" w:cs="Arial"/>
              </w:rPr>
              <w:t>1</w:t>
            </w:r>
          </w:p>
        </w:tc>
        <w:tc>
          <w:tcPr>
            <w:tcW w:w="2765" w:type="dxa"/>
          </w:tcPr>
          <w:p w:rsidR="00660EE9" w:rsidRPr="00D855E0" w:rsidRDefault="000567F2" w:rsidP="006E56F1">
            <w:pPr>
              <w:jc w:val="both"/>
              <w:rPr>
                <w:rFonts w:ascii="Arial Narrow" w:hAnsi="Arial Narrow" w:cs="Arial"/>
              </w:rPr>
            </w:pPr>
            <w:r w:rsidRPr="00D855E0">
              <w:rPr>
                <w:rFonts w:ascii="Arial Narrow" w:hAnsi="Arial Narrow"/>
              </w:rPr>
              <w:t xml:space="preserve">Al 31 de julio de 2010 se determino una diferencia no aclarada por el sujeto fiscalizado por $ 31,092, derivada de comparar el importe de las adquisiciones realizadas en el periodo de enero a julio del 2010 registradas en las cuentas de Activo Fijo que ascienden a $190,000, contra lo registrado en el Capitulo 5000 “Bienes Muebles e Inmuebles” por $ 159,808.  </w:t>
            </w:r>
          </w:p>
        </w:tc>
        <w:tc>
          <w:tcPr>
            <w:tcW w:w="3685" w:type="dxa"/>
          </w:tcPr>
          <w:p w:rsidR="00660EE9" w:rsidRPr="00443483" w:rsidRDefault="001E636F" w:rsidP="000567F2">
            <w:pPr>
              <w:jc w:val="both"/>
              <w:rPr>
                <w:rFonts w:ascii="Arial Narrow" w:hAnsi="Arial Narrow" w:cs="Arial"/>
              </w:rPr>
            </w:pPr>
            <w:r w:rsidRPr="00443483">
              <w:rPr>
                <w:rFonts w:ascii="Arial Narrow" w:hAnsi="Arial Narrow" w:cs="Arial"/>
              </w:rPr>
              <w:t>Esta diferencia mencionada se debe a que, por instrucciones de la Secretaría de Hacienda, a partir del segundo semestre del 2009, no se debería de generar gastos dentro del Capítulo 5000… Viéndose esta Institución en la necesidad de adquirir mobiliario y equipo de cómputo para poner en funcionamiento el Centro Poder Joven de San Luis Río Colorado, Son., se hizo la compra y dicho gasto se cargó a la partida 2101 “Material de Oficina”, lo cual, ya dentro del Ejercicio Fiscal 2010 tuvo que ser modificado y corregido Mediante PD-20 de fecha (31/05/10) de la cual se anexa copia, mandándose a la cuenta de Activo Fijo 126-0000-00 Equipo de Computación Electrónica” la cantidad de $27,626.50 y a la cuenta 121-0000-000 “Mobiliario y Equipo de Administración”, la cantidad de $3,465.00, así como a la cuenta de Capital 301-0000-000, por la cantidad de $31,091.50… Dicha compra ya no pudo entrar al gasto dentro del Capítulo 5000 al hacer la corrección correspondiente, ya que el gasto forma parte del Ejercicio Anterior 2009.</w:t>
            </w:r>
          </w:p>
        </w:tc>
        <w:tc>
          <w:tcPr>
            <w:tcW w:w="2638" w:type="dxa"/>
          </w:tcPr>
          <w:p w:rsidR="00660EE9" w:rsidRPr="00443483" w:rsidRDefault="001E636F" w:rsidP="001E636F">
            <w:pPr>
              <w:jc w:val="both"/>
              <w:rPr>
                <w:rFonts w:ascii="Arial Narrow" w:hAnsi="Arial Narrow" w:cs="Arial"/>
              </w:rPr>
            </w:pPr>
            <w:r w:rsidRPr="00443483">
              <w:rPr>
                <w:rFonts w:ascii="Arial Narrow" w:hAnsi="Arial Narrow" w:cs="Arial"/>
              </w:rPr>
              <w:t xml:space="preserve">En el </w:t>
            </w:r>
            <w:r w:rsidRPr="00443483">
              <w:rPr>
                <w:rFonts w:ascii="Arial Narrow" w:hAnsi="Arial Narrow" w:cs="Arial"/>
                <w:b/>
              </w:rPr>
              <w:t>apartado # 1</w:t>
            </w:r>
            <w:r w:rsidRPr="00443483">
              <w:rPr>
                <w:rFonts w:ascii="Arial Narrow" w:hAnsi="Arial Narrow" w:cs="Arial"/>
              </w:rPr>
              <w:t>, se anexan auxiliares y pólizas comprobatorias</w:t>
            </w:r>
            <w:r w:rsidR="00443483">
              <w:rPr>
                <w:rFonts w:ascii="Arial Narrow" w:hAnsi="Arial Narrow" w:cs="Arial"/>
              </w:rPr>
              <w:t>, así como las medidas preventivas</w:t>
            </w:r>
            <w:r w:rsidRPr="00443483">
              <w:rPr>
                <w:rFonts w:ascii="Arial Narrow" w:hAnsi="Arial Narrow" w:cs="Arial"/>
              </w:rPr>
              <w:t>.</w:t>
            </w:r>
          </w:p>
        </w:tc>
      </w:tr>
    </w:tbl>
    <w:p w:rsidR="00660EE9" w:rsidRDefault="00660EE9" w:rsidP="00660EE9">
      <w:pPr>
        <w:jc w:val="both"/>
        <w:rPr>
          <w:rFonts w:ascii="Arial Narrow" w:hAnsi="Arial Narrow" w:cs="Arial"/>
        </w:rPr>
      </w:pPr>
    </w:p>
    <w:p w:rsidR="00DF3E7F" w:rsidRPr="00D855E0" w:rsidRDefault="000567F2" w:rsidP="000567F2">
      <w:pPr>
        <w:pStyle w:val="Prrafodelista"/>
        <w:numPr>
          <w:ilvl w:val="0"/>
          <w:numId w:val="2"/>
        </w:numPr>
        <w:jc w:val="both"/>
        <w:rPr>
          <w:rFonts w:ascii="Arial Narrow" w:hAnsi="Arial Narrow" w:cs="Arial"/>
          <w:b/>
        </w:rPr>
      </w:pPr>
      <w:r w:rsidRPr="00D855E0">
        <w:rPr>
          <w:rFonts w:ascii="Arial Narrow" w:hAnsi="Arial Narrow" w:cs="Arial"/>
          <w:b/>
        </w:rPr>
        <w:lastRenderedPageBreak/>
        <w:t xml:space="preserve">De la revisión realizada con cifras al 31 de julio de 2010, bajo una muestra selectiva, se determino la existencia de 2 inflables rotulados y personalizados con un valor total de $ 26,100, según consta en la póliza de diario no. 11 de fecha 19 de mayo de 2010, de los cuales el sujeto  fiscalizado no exhibió los resguardos individuales correspondientes. El hecho observado es recurrente de la fiscalización realizada por el ISAF en el ejercicio 2009. </w:t>
      </w:r>
    </w:p>
    <w:p w:rsidR="000567F2" w:rsidRPr="00D855E0" w:rsidRDefault="000567F2" w:rsidP="000567F2">
      <w:pPr>
        <w:pStyle w:val="Prrafodelista"/>
        <w:jc w:val="both"/>
        <w:rPr>
          <w:rFonts w:ascii="Arial Narrow" w:hAnsi="Arial Narrow" w:cs="Arial"/>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3189"/>
        <w:gridCol w:w="3189"/>
        <w:gridCol w:w="3366"/>
      </w:tblGrid>
      <w:tr w:rsidR="00DF3E7F" w:rsidRPr="00D855E0" w:rsidTr="00C04AC4">
        <w:trPr>
          <w:trHeight w:val="677"/>
        </w:trPr>
        <w:tc>
          <w:tcPr>
            <w:tcW w:w="531"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No.</w:t>
            </w:r>
          </w:p>
        </w:tc>
        <w:tc>
          <w:tcPr>
            <w:tcW w:w="3189"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OBSERVACIÓN</w:t>
            </w:r>
          </w:p>
        </w:tc>
        <w:tc>
          <w:tcPr>
            <w:tcW w:w="3189" w:type="dxa"/>
            <w:shd w:val="clear" w:color="auto" w:fill="CCCCCC"/>
          </w:tcPr>
          <w:p w:rsidR="00DF3E7F" w:rsidRPr="00D855E0" w:rsidRDefault="00DF3E7F" w:rsidP="006E56F1">
            <w:pPr>
              <w:jc w:val="center"/>
              <w:rPr>
                <w:rFonts w:ascii="Arial Narrow" w:hAnsi="Arial Narrow" w:cs="Arial"/>
                <w:b/>
                <w:sz w:val="20"/>
                <w:szCs w:val="20"/>
              </w:rPr>
            </w:pPr>
          </w:p>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JUSTIFICACIÓN</w:t>
            </w:r>
          </w:p>
          <w:p w:rsidR="00DF3E7F" w:rsidRPr="00D855E0" w:rsidRDefault="00DF3E7F" w:rsidP="006E56F1">
            <w:pPr>
              <w:rPr>
                <w:rFonts w:ascii="Arial Narrow" w:hAnsi="Arial Narrow" w:cs="Arial"/>
                <w:b/>
                <w:sz w:val="20"/>
                <w:szCs w:val="20"/>
              </w:rPr>
            </w:pPr>
          </w:p>
        </w:tc>
        <w:tc>
          <w:tcPr>
            <w:tcW w:w="3366"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DF3E7F" w:rsidRPr="00D855E0" w:rsidTr="00C04AC4">
        <w:trPr>
          <w:trHeight w:val="215"/>
        </w:trPr>
        <w:tc>
          <w:tcPr>
            <w:tcW w:w="531" w:type="dxa"/>
            <w:vAlign w:val="center"/>
          </w:tcPr>
          <w:p w:rsidR="00DF3E7F" w:rsidRPr="00D855E0" w:rsidRDefault="00660EE9" w:rsidP="006E56F1">
            <w:pPr>
              <w:spacing w:line="240" w:lineRule="exact"/>
              <w:jc w:val="center"/>
              <w:rPr>
                <w:rFonts w:ascii="Arial Narrow" w:hAnsi="Arial Narrow" w:cs="Arial"/>
                <w:sz w:val="20"/>
                <w:szCs w:val="20"/>
              </w:rPr>
            </w:pPr>
            <w:r w:rsidRPr="00D855E0">
              <w:rPr>
                <w:rFonts w:ascii="Arial Narrow" w:hAnsi="Arial Narrow" w:cs="Arial"/>
                <w:sz w:val="20"/>
                <w:szCs w:val="20"/>
              </w:rPr>
              <w:t>2</w:t>
            </w:r>
          </w:p>
        </w:tc>
        <w:tc>
          <w:tcPr>
            <w:tcW w:w="3189" w:type="dxa"/>
          </w:tcPr>
          <w:p w:rsidR="000567F2" w:rsidRPr="00D855E0" w:rsidRDefault="000567F2" w:rsidP="000567F2">
            <w:pPr>
              <w:jc w:val="both"/>
              <w:rPr>
                <w:rFonts w:ascii="Arial Narrow" w:hAnsi="Arial Narrow" w:cs="Arial"/>
              </w:rPr>
            </w:pPr>
            <w:r w:rsidRPr="00D855E0">
              <w:rPr>
                <w:rFonts w:ascii="Arial Narrow" w:hAnsi="Arial Narrow" w:cs="Arial"/>
              </w:rPr>
              <w:t xml:space="preserve">De la revisión realizada con cifras al 31 de julio de 2010, bajo una muestra selectiva, se determino la existencia de 2 inflables rotulados y personalizados con un valor total de $ 26,100, según consta en la póliza de diario no. 11 de fecha 19 de mayo de 2010, de los cuales el sujeto  fiscalizado no exhibió los resguardos individuales correspondientes. El hecho observado es recurrente de la fiscalización realizada por el ISAF en el ejercicio 2009. </w:t>
            </w:r>
          </w:p>
          <w:p w:rsidR="00DF3E7F" w:rsidRPr="00D855E0" w:rsidRDefault="00DF3E7F" w:rsidP="000567F2">
            <w:pPr>
              <w:jc w:val="both"/>
              <w:rPr>
                <w:rFonts w:ascii="Arial Narrow" w:hAnsi="Arial Narrow" w:cs="Arial"/>
                <w:sz w:val="20"/>
                <w:szCs w:val="20"/>
              </w:rPr>
            </w:pPr>
          </w:p>
        </w:tc>
        <w:tc>
          <w:tcPr>
            <w:tcW w:w="3189" w:type="dxa"/>
          </w:tcPr>
          <w:p w:rsidR="00DF3E7F" w:rsidRPr="00443483" w:rsidRDefault="00C04AC4" w:rsidP="006E56F1">
            <w:pPr>
              <w:jc w:val="both"/>
              <w:rPr>
                <w:rFonts w:ascii="Arial Narrow" w:hAnsi="Arial Narrow" w:cs="Arial"/>
              </w:rPr>
            </w:pPr>
            <w:r w:rsidRPr="00443483">
              <w:rPr>
                <w:rFonts w:ascii="Arial Narrow" w:hAnsi="Arial Narrow" w:cs="Arial"/>
              </w:rPr>
              <w:t>Efectivamente al momento de la revisión no se presentaron los resguardos individuales, debido a que se desconocía que también deberían de contar con dicho resguardo, pero una vez comentado con los auditores se realizaron dichos resguardos.</w:t>
            </w:r>
          </w:p>
        </w:tc>
        <w:tc>
          <w:tcPr>
            <w:tcW w:w="3366" w:type="dxa"/>
          </w:tcPr>
          <w:p w:rsidR="00DF3E7F" w:rsidRPr="00443483" w:rsidRDefault="00C04AC4" w:rsidP="006E56F1">
            <w:pPr>
              <w:jc w:val="both"/>
              <w:rPr>
                <w:rFonts w:ascii="Arial Narrow" w:hAnsi="Arial Narrow" w:cs="Arial"/>
              </w:rPr>
            </w:pPr>
            <w:r w:rsidRPr="00443483">
              <w:rPr>
                <w:rFonts w:ascii="Arial Narrow" w:hAnsi="Arial Narrow" w:cs="Arial"/>
              </w:rPr>
              <w:t xml:space="preserve">Actualmente se tienen todos los resguardos de los activos del ISJ, con el fin de prevenir este tipo de observaciones. </w:t>
            </w:r>
          </w:p>
          <w:p w:rsidR="00C04AC4" w:rsidRPr="00443483" w:rsidRDefault="00C04AC4" w:rsidP="006E56F1">
            <w:pPr>
              <w:jc w:val="both"/>
              <w:rPr>
                <w:rFonts w:ascii="Arial Narrow" w:hAnsi="Arial Narrow" w:cs="Arial"/>
              </w:rPr>
            </w:pPr>
            <w:r w:rsidRPr="00443483">
              <w:rPr>
                <w:rFonts w:ascii="Arial Narrow" w:hAnsi="Arial Narrow" w:cs="Arial"/>
              </w:rPr>
              <w:t xml:space="preserve">Cabe aclarar que este tipo de  observación ha sido recurrente porque anteriormente no se tenía un inventario actualizado, y no se contaba con resguardos, por lo que durante este 2010 se ha actualizado este tipo de información. </w:t>
            </w:r>
          </w:p>
          <w:p w:rsidR="00C04AC4" w:rsidRPr="00443483" w:rsidRDefault="00C04AC4" w:rsidP="006E56F1">
            <w:pPr>
              <w:jc w:val="both"/>
              <w:rPr>
                <w:rFonts w:ascii="Arial Narrow" w:hAnsi="Arial Narrow" w:cs="Arial"/>
              </w:rPr>
            </w:pPr>
            <w:r w:rsidRPr="00443483">
              <w:rPr>
                <w:rFonts w:ascii="Arial Narrow" w:hAnsi="Arial Narrow" w:cs="Arial"/>
              </w:rPr>
              <w:t xml:space="preserve">Según </w:t>
            </w:r>
            <w:r w:rsidR="008A427C" w:rsidRPr="00443483">
              <w:rPr>
                <w:rFonts w:ascii="Arial Narrow" w:hAnsi="Arial Narrow" w:cs="Arial"/>
                <w:b/>
              </w:rPr>
              <w:t>anexo # 2</w:t>
            </w:r>
            <w:r w:rsidR="008A427C" w:rsidRPr="00443483">
              <w:rPr>
                <w:rFonts w:ascii="Arial Narrow" w:hAnsi="Arial Narrow" w:cs="Arial"/>
              </w:rPr>
              <w:t xml:space="preserve"> </w:t>
            </w:r>
            <w:r w:rsidRPr="00443483">
              <w:rPr>
                <w:rFonts w:ascii="Arial Narrow" w:hAnsi="Arial Narrow" w:cs="Arial"/>
              </w:rPr>
              <w:t xml:space="preserve"> se presenta copia del resguardo individual del activo observado.</w:t>
            </w:r>
            <w:r w:rsidR="008A427C" w:rsidRPr="00443483">
              <w:rPr>
                <w:rFonts w:ascii="Arial Narrow" w:hAnsi="Arial Narrow" w:cs="Arial"/>
              </w:rPr>
              <w:t xml:space="preserve"> Así como las medidas a implementar.</w:t>
            </w:r>
          </w:p>
        </w:tc>
      </w:tr>
    </w:tbl>
    <w:p w:rsidR="00DF3E7F" w:rsidRPr="00D855E0" w:rsidRDefault="00DF3E7F" w:rsidP="00DF3E7F">
      <w:pPr>
        <w:rPr>
          <w:rFonts w:ascii="Arial Narrow" w:hAnsi="Arial Narrow" w:cs="Arial"/>
        </w:rPr>
      </w:pPr>
    </w:p>
    <w:p w:rsidR="00660EE9" w:rsidRDefault="00660EE9"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Default="00C04AC4" w:rsidP="00DF3E7F">
      <w:pPr>
        <w:jc w:val="both"/>
        <w:rPr>
          <w:rFonts w:ascii="Arial Narrow" w:hAnsi="Arial Narrow" w:cs="Arial"/>
          <w:b/>
        </w:rPr>
      </w:pPr>
    </w:p>
    <w:p w:rsidR="00C04AC4" w:rsidRPr="00D855E0" w:rsidRDefault="00C04AC4" w:rsidP="00DF3E7F">
      <w:pPr>
        <w:jc w:val="both"/>
        <w:rPr>
          <w:rFonts w:ascii="Arial Narrow" w:hAnsi="Arial Narrow" w:cs="Arial"/>
          <w:b/>
        </w:rPr>
      </w:pPr>
    </w:p>
    <w:p w:rsidR="00DF3E7F" w:rsidRPr="00D855E0" w:rsidRDefault="00B85ED9" w:rsidP="00B85ED9">
      <w:pPr>
        <w:pStyle w:val="Prrafodelista"/>
        <w:numPr>
          <w:ilvl w:val="0"/>
          <w:numId w:val="2"/>
        </w:numPr>
        <w:tabs>
          <w:tab w:val="left" w:pos="1860"/>
        </w:tabs>
        <w:jc w:val="both"/>
        <w:rPr>
          <w:rFonts w:ascii="Arial Narrow" w:hAnsi="Arial Narrow" w:cs="Arial"/>
          <w:b/>
        </w:rPr>
      </w:pPr>
      <w:r w:rsidRPr="00D855E0">
        <w:rPr>
          <w:rFonts w:ascii="Arial Narrow" w:hAnsi="Arial Narrow" w:cs="Arial"/>
          <w:b/>
        </w:rPr>
        <w:lastRenderedPageBreak/>
        <w:t>El sujeto fiscalizado pago re</w:t>
      </w:r>
      <w:r w:rsidR="00C04AC4">
        <w:rPr>
          <w:rFonts w:ascii="Arial Narrow" w:hAnsi="Arial Narrow" w:cs="Arial"/>
          <w:b/>
        </w:rPr>
        <w:t>cargos y actualizaciones por un</w:t>
      </w:r>
      <w:r w:rsidRPr="00D855E0">
        <w:rPr>
          <w:rFonts w:ascii="Arial Narrow" w:hAnsi="Arial Narrow" w:cs="Arial"/>
          <w:b/>
        </w:rPr>
        <w:t xml:space="preserve"> importe de $ 4,092, debido a que no fueron presentadas oportunamente ante el Servicio de Administración Tributaria (SAT), las declaraciones de impuestos federales correspondientes a los meses de enero, marzo, abril y junio de 2010, por concepto de retenciones del impuesto sobre la renta por salarios. El hecho observado es recurrente de la fiscalización realizada por el ISAF en el ejercicio 2009.</w:t>
      </w:r>
    </w:p>
    <w:tbl>
      <w:tblPr>
        <w:tblpPr w:leftFromText="141" w:rightFromText="141" w:vertAnchor="text" w:horzAnchor="margin" w:tblpXSpec="center" w:tblpY="148"/>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3156"/>
        <w:gridCol w:w="3156"/>
        <w:gridCol w:w="3331"/>
      </w:tblGrid>
      <w:tr w:rsidR="00DF3E7F" w:rsidRPr="00D855E0" w:rsidTr="00660EE9">
        <w:trPr>
          <w:trHeight w:val="685"/>
        </w:trPr>
        <w:tc>
          <w:tcPr>
            <w:tcW w:w="526" w:type="dxa"/>
            <w:shd w:val="clear" w:color="auto" w:fill="CCCCCC"/>
            <w:vAlign w:val="center"/>
          </w:tcPr>
          <w:p w:rsidR="00DF3E7F" w:rsidRPr="00D855E0" w:rsidRDefault="00DF3E7F" w:rsidP="00DF3E7F">
            <w:pPr>
              <w:jc w:val="center"/>
              <w:rPr>
                <w:rFonts w:ascii="Arial Narrow" w:hAnsi="Arial Narrow" w:cs="Arial"/>
                <w:b/>
                <w:sz w:val="20"/>
                <w:szCs w:val="20"/>
              </w:rPr>
            </w:pPr>
            <w:r w:rsidRPr="00D855E0">
              <w:rPr>
                <w:rFonts w:ascii="Arial Narrow" w:hAnsi="Arial Narrow" w:cs="Arial"/>
                <w:b/>
                <w:sz w:val="20"/>
                <w:szCs w:val="20"/>
              </w:rPr>
              <w:t>No.</w:t>
            </w:r>
          </w:p>
        </w:tc>
        <w:tc>
          <w:tcPr>
            <w:tcW w:w="3156" w:type="dxa"/>
            <w:shd w:val="clear" w:color="auto" w:fill="CCCCCC"/>
            <w:vAlign w:val="center"/>
          </w:tcPr>
          <w:p w:rsidR="00DF3E7F" w:rsidRPr="00D855E0" w:rsidRDefault="00DF3E7F" w:rsidP="00DF3E7F">
            <w:pPr>
              <w:jc w:val="center"/>
              <w:rPr>
                <w:rFonts w:ascii="Arial Narrow" w:hAnsi="Arial Narrow" w:cs="Arial"/>
                <w:b/>
                <w:sz w:val="20"/>
                <w:szCs w:val="20"/>
              </w:rPr>
            </w:pPr>
            <w:r w:rsidRPr="00D855E0">
              <w:rPr>
                <w:rFonts w:ascii="Arial Narrow" w:hAnsi="Arial Narrow" w:cs="Arial"/>
                <w:b/>
                <w:sz w:val="20"/>
                <w:szCs w:val="20"/>
              </w:rPr>
              <w:t>OBSERVACIÓN</w:t>
            </w:r>
          </w:p>
        </w:tc>
        <w:tc>
          <w:tcPr>
            <w:tcW w:w="3156" w:type="dxa"/>
            <w:shd w:val="clear" w:color="auto" w:fill="CCCCCC"/>
          </w:tcPr>
          <w:p w:rsidR="00DF3E7F" w:rsidRPr="00D855E0" w:rsidRDefault="00DF3E7F" w:rsidP="00DF3E7F">
            <w:pPr>
              <w:jc w:val="center"/>
              <w:rPr>
                <w:rFonts w:ascii="Arial Narrow" w:hAnsi="Arial Narrow" w:cs="Arial"/>
                <w:b/>
                <w:sz w:val="20"/>
                <w:szCs w:val="20"/>
              </w:rPr>
            </w:pPr>
          </w:p>
          <w:p w:rsidR="00DF3E7F" w:rsidRPr="00D855E0" w:rsidRDefault="00DF3E7F" w:rsidP="00DF3E7F">
            <w:pPr>
              <w:jc w:val="center"/>
              <w:rPr>
                <w:rFonts w:ascii="Arial Narrow" w:hAnsi="Arial Narrow" w:cs="Arial"/>
                <w:b/>
                <w:sz w:val="20"/>
                <w:szCs w:val="20"/>
              </w:rPr>
            </w:pPr>
            <w:r w:rsidRPr="00D855E0">
              <w:rPr>
                <w:rFonts w:ascii="Arial Narrow" w:hAnsi="Arial Narrow" w:cs="Arial"/>
                <w:b/>
                <w:sz w:val="20"/>
                <w:szCs w:val="20"/>
              </w:rPr>
              <w:t>JUSTIFICACIÓN</w:t>
            </w:r>
          </w:p>
          <w:p w:rsidR="00DF3E7F" w:rsidRPr="00D855E0" w:rsidRDefault="00DF3E7F" w:rsidP="00DF3E7F">
            <w:pPr>
              <w:rPr>
                <w:rFonts w:ascii="Arial Narrow" w:hAnsi="Arial Narrow" w:cs="Arial"/>
                <w:b/>
                <w:sz w:val="20"/>
                <w:szCs w:val="20"/>
              </w:rPr>
            </w:pPr>
          </w:p>
        </w:tc>
        <w:tc>
          <w:tcPr>
            <w:tcW w:w="3331" w:type="dxa"/>
            <w:shd w:val="clear" w:color="auto" w:fill="CCCCCC"/>
            <w:vAlign w:val="center"/>
          </w:tcPr>
          <w:p w:rsidR="00DF3E7F" w:rsidRPr="00D855E0" w:rsidRDefault="00DF3E7F" w:rsidP="00DF3E7F">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DF3E7F" w:rsidRPr="00D855E0" w:rsidTr="00660EE9">
        <w:trPr>
          <w:trHeight w:val="217"/>
        </w:trPr>
        <w:tc>
          <w:tcPr>
            <w:tcW w:w="526" w:type="dxa"/>
            <w:vAlign w:val="center"/>
          </w:tcPr>
          <w:p w:rsidR="00DF3E7F" w:rsidRPr="00D855E0" w:rsidRDefault="00660EE9" w:rsidP="00DF3E7F">
            <w:pPr>
              <w:spacing w:line="240" w:lineRule="exact"/>
              <w:jc w:val="center"/>
              <w:rPr>
                <w:rFonts w:ascii="Arial Narrow" w:hAnsi="Arial Narrow" w:cs="Arial"/>
                <w:sz w:val="20"/>
                <w:szCs w:val="20"/>
              </w:rPr>
            </w:pPr>
            <w:r w:rsidRPr="00D855E0">
              <w:rPr>
                <w:rFonts w:ascii="Arial Narrow" w:hAnsi="Arial Narrow" w:cs="Arial"/>
                <w:sz w:val="20"/>
                <w:szCs w:val="20"/>
              </w:rPr>
              <w:t>3</w:t>
            </w:r>
          </w:p>
        </w:tc>
        <w:tc>
          <w:tcPr>
            <w:tcW w:w="3156" w:type="dxa"/>
          </w:tcPr>
          <w:p w:rsidR="00B85ED9" w:rsidRPr="00D855E0" w:rsidRDefault="00B85ED9" w:rsidP="00B85ED9">
            <w:pPr>
              <w:tabs>
                <w:tab w:val="left" w:pos="1860"/>
              </w:tabs>
              <w:jc w:val="both"/>
              <w:rPr>
                <w:rFonts w:ascii="Arial Narrow" w:hAnsi="Arial Narrow" w:cs="Arial"/>
              </w:rPr>
            </w:pPr>
            <w:r w:rsidRPr="00D855E0">
              <w:rPr>
                <w:rFonts w:ascii="Arial Narrow" w:hAnsi="Arial Narrow" w:cs="Arial"/>
              </w:rPr>
              <w:t>El sujeto fiscalizado pago re</w:t>
            </w:r>
            <w:r w:rsidR="00C04AC4">
              <w:rPr>
                <w:rFonts w:ascii="Arial Narrow" w:hAnsi="Arial Narrow" w:cs="Arial"/>
              </w:rPr>
              <w:t>cargos y actualizaciones por un</w:t>
            </w:r>
            <w:r w:rsidRPr="00D855E0">
              <w:rPr>
                <w:rFonts w:ascii="Arial Narrow" w:hAnsi="Arial Narrow" w:cs="Arial"/>
              </w:rPr>
              <w:t xml:space="preserve"> importe de $ 4,092, debido a que no fueron presentadas oportunamente ante el Servicio de Administración Tributaria (SAT), las declaraciones de impuestos federales correspondientes a los meses de enero, marzo, abril y junio de 2010, por concepto de retenciones del impuesto sobre la renta por salarios. El hecho observado es recurrente de la fiscalización realizada por el ISAF en el ejercicio 2009.</w:t>
            </w:r>
          </w:p>
          <w:p w:rsidR="00DF3E7F" w:rsidRPr="00D855E0" w:rsidRDefault="00DF3E7F" w:rsidP="000567F2">
            <w:pPr>
              <w:jc w:val="both"/>
              <w:rPr>
                <w:rFonts w:ascii="Arial Narrow" w:hAnsi="Arial Narrow" w:cs="Arial"/>
                <w:sz w:val="20"/>
                <w:szCs w:val="20"/>
              </w:rPr>
            </w:pPr>
          </w:p>
        </w:tc>
        <w:tc>
          <w:tcPr>
            <w:tcW w:w="3156" w:type="dxa"/>
          </w:tcPr>
          <w:p w:rsidR="00C04AC4" w:rsidRPr="00443483" w:rsidRDefault="00C04AC4" w:rsidP="00354C36">
            <w:pPr>
              <w:jc w:val="both"/>
              <w:rPr>
                <w:rFonts w:ascii="Arial Narrow" w:hAnsi="Arial Narrow" w:cs="Arial"/>
              </w:rPr>
            </w:pPr>
            <w:r w:rsidRPr="00443483">
              <w:rPr>
                <w:rFonts w:ascii="Arial Narrow" w:hAnsi="Arial Narrow" w:cs="Arial"/>
              </w:rPr>
              <w:t>Efectivamente durante el primer semestre se realizaron pagos de recargos y actualizaciones por pagos en destiempo</w:t>
            </w:r>
            <w:r w:rsidR="00354C36" w:rsidRPr="00443483">
              <w:rPr>
                <w:rFonts w:ascii="Arial Narrow" w:hAnsi="Arial Narrow" w:cs="Arial"/>
              </w:rPr>
              <w:t>, a pesar de que ya se  le había solicitado a la dirección administrativa que se realizaran los pagos en tiempo y forma, pero cabe aclarar que la administración anterior durante el 2009 dejaron muchas obligaciones fiscales  pendientes, las cuales tuvieron que cubrirse durante los primeros meses del 2010, por lo que estos pagos también extemporáneos, generaba gastos no programados que afectaron en gran medida el presupuesto del ISJ, por lo que se realizo una programación de pa</w:t>
            </w:r>
            <w:r w:rsidR="00865255" w:rsidRPr="00443483">
              <w:rPr>
                <w:rFonts w:ascii="Arial Narrow" w:hAnsi="Arial Narrow" w:cs="Arial"/>
              </w:rPr>
              <w:t>gos que no afectara en</w:t>
            </w:r>
            <w:r w:rsidR="00354C36" w:rsidRPr="00443483">
              <w:rPr>
                <w:rFonts w:ascii="Arial Narrow" w:hAnsi="Arial Narrow" w:cs="Arial"/>
              </w:rPr>
              <w:t xml:space="preserve"> la estructura programática y presupuestal de este instituto</w:t>
            </w:r>
            <w:r w:rsidR="001A35A7" w:rsidRPr="00443483">
              <w:rPr>
                <w:rFonts w:ascii="Arial Narrow" w:hAnsi="Arial Narrow" w:cs="Arial"/>
              </w:rPr>
              <w:t>; cabe aclarar que estos desembolsos se registraron en la partida 3402 “Gastos Financieros“ la cual contempla presupuesto para estos imprevistos</w:t>
            </w:r>
            <w:r w:rsidR="00354C36" w:rsidRPr="00443483">
              <w:rPr>
                <w:rFonts w:ascii="Arial Narrow" w:hAnsi="Arial Narrow" w:cs="Arial"/>
              </w:rPr>
              <w:t xml:space="preserve">. </w:t>
            </w:r>
          </w:p>
          <w:p w:rsidR="00DF3E7F" w:rsidRPr="00443483" w:rsidRDefault="00DF3E7F" w:rsidP="00C04AC4">
            <w:pPr>
              <w:rPr>
                <w:rFonts w:ascii="Arial Narrow" w:hAnsi="Arial Narrow" w:cs="Arial"/>
              </w:rPr>
            </w:pPr>
          </w:p>
        </w:tc>
        <w:tc>
          <w:tcPr>
            <w:tcW w:w="3331" w:type="dxa"/>
          </w:tcPr>
          <w:p w:rsidR="00DF3E7F" w:rsidRPr="00443483" w:rsidRDefault="00354C36" w:rsidP="00DF3E7F">
            <w:pPr>
              <w:jc w:val="both"/>
              <w:rPr>
                <w:rFonts w:ascii="Arial Narrow" w:hAnsi="Arial Narrow" w:cs="Arial"/>
              </w:rPr>
            </w:pPr>
            <w:r w:rsidRPr="00443483">
              <w:rPr>
                <w:rFonts w:ascii="Arial Narrow" w:hAnsi="Arial Narrow" w:cs="Arial"/>
              </w:rPr>
              <w:t>Se han tomado las medidas correspondientes para prevenir este tipo de observaciones.</w:t>
            </w:r>
            <w:r w:rsidR="00C46049" w:rsidRPr="00443483">
              <w:rPr>
                <w:rFonts w:ascii="Arial Narrow" w:hAnsi="Arial Narrow" w:cs="Arial"/>
              </w:rPr>
              <w:t xml:space="preserve"> Por lo que se presentan según </w:t>
            </w:r>
            <w:r w:rsidR="00C46049" w:rsidRPr="00443483">
              <w:rPr>
                <w:rFonts w:ascii="Arial Narrow" w:hAnsi="Arial Narrow" w:cs="Arial"/>
                <w:b/>
              </w:rPr>
              <w:t>anexo # 3.</w:t>
            </w:r>
          </w:p>
        </w:tc>
      </w:tr>
    </w:tbl>
    <w:p w:rsidR="00DF3E7F" w:rsidRDefault="00DF3E7F"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354C36" w:rsidRDefault="00354C36" w:rsidP="00DF3E7F">
      <w:pPr>
        <w:ind w:left="357"/>
        <w:jc w:val="both"/>
        <w:rPr>
          <w:rFonts w:ascii="Arial Narrow" w:hAnsi="Arial Narrow" w:cs="Arial"/>
          <w:b/>
        </w:rPr>
      </w:pPr>
    </w:p>
    <w:p w:rsidR="00660EE9" w:rsidRPr="00D855E0" w:rsidRDefault="00B85ED9" w:rsidP="00B85ED9">
      <w:pPr>
        <w:pStyle w:val="Prrafodelista"/>
        <w:numPr>
          <w:ilvl w:val="0"/>
          <w:numId w:val="2"/>
        </w:numPr>
        <w:jc w:val="both"/>
        <w:rPr>
          <w:rFonts w:ascii="Arial Narrow" w:hAnsi="Arial Narrow" w:cs="Arial"/>
          <w:b/>
        </w:rPr>
      </w:pPr>
      <w:r w:rsidRPr="00D855E0">
        <w:rPr>
          <w:rFonts w:ascii="Arial Narrow" w:hAnsi="Arial Narrow" w:cs="Arial"/>
          <w:b/>
        </w:rPr>
        <w:lastRenderedPageBreak/>
        <w:t>El sujeto fiscalizado presento en forma extemporánea ante el Servicio de Administración Tributaria (SAT), las declaraciones informativas mensuales de operaciones realizadas con terceros (DIOT), correspondientes al periodo de enero y de marzo a julio de 2010, conforme a lo siguiente.</w:t>
      </w:r>
    </w:p>
    <w:tbl>
      <w:tblPr>
        <w:tblW w:w="3720" w:type="dxa"/>
        <w:tblInd w:w="2304" w:type="dxa"/>
        <w:tblCellMar>
          <w:left w:w="70" w:type="dxa"/>
          <w:right w:w="70" w:type="dxa"/>
        </w:tblCellMar>
        <w:tblLook w:val="04A0"/>
      </w:tblPr>
      <w:tblGrid>
        <w:gridCol w:w="1300"/>
        <w:gridCol w:w="1286"/>
        <w:gridCol w:w="1134"/>
      </w:tblGrid>
      <w:tr w:rsidR="00B85ED9" w:rsidRPr="00354C36" w:rsidTr="00354C36">
        <w:trPr>
          <w:trHeight w:val="856"/>
        </w:trPr>
        <w:tc>
          <w:tcPr>
            <w:tcW w:w="1300" w:type="dxa"/>
            <w:tcBorders>
              <w:top w:val="single" w:sz="8" w:space="0" w:color="auto"/>
              <w:left w:val="single" w:sz="8" w:space="0" w:color="auto"/>
              <w:bottom w:val="single" w:sz="8" w:space="0" w:color="auto"/>
              <w:right w:val="nil"/>
            </w:tcBorders>
            <w:shd w:val="clear" w:color="auto" w:fill="auto"/>
            <w:vAlign w:val="bottom"/>
            <w:hideMark/>
          </w:tcPr>
          <w:p w:rsidR="00B85ED9" w:rsidRPr="00354C36" w:rsidRDefault="00B85ED9">
            <w:pPr>
              <w:jc w:val="center"/>
              <w:rPr>
                <w:rFonts w:ascii="Arial Narrow" w:hAnsi="Arial Narrow"/>
                <w:b/>
                <w:bCs/>
                <w:color w:val="000000"/>
                <w:sz w:val="18"/>
                <w:szCs w:val="18"/>
              </w:rPr>
            </w:pPr>
            <w:r w:rsidRPr="00354C36">
              <w:rPr>
                <w:rFonts w:ascii="Arial Narrow" w:hAnsi="Arial Narrow"/>
                <w:b/>
                <w:bCs/>
                <w:color w:val="000000"/>
                <w:sz w:val="18"/>
                <w:szCs w:val="18"/>
              </w:rPr>
              <w:t>Mes de la declaración del DIOT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85ED9" w:rsidRPr="00354C36" w:rsidRDefault="00B85ED9">
            <w:pPr>
              <w:jc w:val="center"/>
              <w:rPr>
                <w:rFonts w:ascii="Arial Narrow" w:hAnsi="Arial Narrow"/>
                <w:b/>
                <w:bCs/>
                <w:color w:val="000000"/>
                <w:sz w:val="18"/>
                <w:szCs w:val="18"/>
              </w:rPr>
            </w:pPr>
            <w:r w:rsidRPr="00354C36">
              <w:rPr>
                <w:rFonts w:ascii="Arial Narrow" w:hAnsi="Arial Narrow"/>
                <w:b/>
                <w:bCs/>
                <w:color w:val="000000"/>
                <w:sz w:val="18"/>
                <w:szCs w:val="18"/>
              </w:rPr>
              <w:t>Fecha de presentación ante el SAT</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B85ED9" w:rsidRPr="00354C36" w:rsidRDefault="00B85ED9">
            <w:pPr>
              <w:jc w:val="center"/>
              <w:rPr>
                <w:rFonts w:ascii="Arial Narrow" w:hAnsi="Arial Narrow"/>
                <w:b/>
                <w:bCs/>
                <w:color w:val="000000"/>
                <w:sz w:val="18"/>
                <w:szCs w:val="18"/>
              </w:rPr>
            </w:pPr>
            <w:r w:rsidRPr="00354C36">
              <w:rPr>
                <w:rFonts w:ascii="Arial Narrow" w:hAnsi="Arial Narrow"/>
                <w:b/>
                <w:bCs/>
                <w:color w:val="000000"/>
                <w:sz w:val="18"/>
                <w:szCs w:val="18"/>
              </w:rPr>
              <w:t>Fecha de Vencimiento</w:t>
            </w:r>
          </w:p>
        </w:tc>
      </w:tr>
      <w:tr w:rsidR="00B85ED9" w:rsidRPr="00354C36" w:rsidTr="00354C3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ENERO</w:t>
            </w:r>
          </w:p>
        </w:tc>
        <w:tc>
          <w:tcPr>
            <w:tcW w:w="1286" w:type="dxa"/>
            <w:tcBorders>
              <w:top w:val="nil"/>
              <w:left w:val="nil"/>
              <w:bottom w:val="single" w:sz="4"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16-jul-10</w:t>
            </w:r>
          </w:p>
        </w:tc>
        <w:tc>
          <w:tcPr>
            <w:tcW w:w="1134" w:type="dxa"/>
            <w:tcBorders>
              <w:top w:val="nil"/>
              <w:left w:val="nil"/>
              <w:bottom w:val="single" w:sz="4"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28-feb-10</w:t>
            </w:r>
          </w:p>
        </w:tc>
      </w:tr>
      <w:tr w:rsidR="00B85ED9" w:rsidRPr="00354C36" w:rsidTr="00354C3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FEBRERO</w:t>
            </w:r>
          </w:p>
        </w:tc>
        <w:tc>
          <w:tcPr>
            <w:tcW w:w="1286" w:type="dxa"/>
            <w:tcBorders>
              <w:top w:val="nil"/>
              <w:left w:val="nil"/>
              <w:bottom w:val="single" w:sz="4"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16-jul-10</w:t>
            </w:r>
          </w:p>
        </w:tc>
        <w:tc>
          <w:tcPr>
            <w:tcW w:w="1134" w:type="dxa"/>
            <w:tcBorders>
              <w:top w:val="nil"/>
              <w:left w:val="nil"/>
              <w:bottom w:val="single" w:sz="4"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31-mar-10</w:t>
            </w:r>
          </w:p>
        </w:tc>
      </w:tr>
      <w:tr w:rsidR="00B85ED9" w:rsidRPr="00354C36" w:rsidTr="00354C3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MARZO</w:t>
            </w:r>
          </w:p>
        </w:tc>
        <w:tc>
          <w:tcPr>
            <w:tcW w:w="1286" w:type="dxa"/>
            <w:tcBorders>
              <w:top w:val="nil"/>
              <w:left w:val="nil"/>
              <w:bottom w:val="single" w:sz="4"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16-jul-10</w:t>
            </w:r>
          </w:p>
        </w:tc>
        <w:tc>
          <w:tcPr>
            <w:tcW w:w="1134" w:type="dxa"/>
            <w:tcBorders>
              <w:top w:val="nil"/>
              <w:left w:val="nil"/>
              <w:bottom w:val="single" w:sz="4"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30-abr-10</w:t>
            </w:r>
          </w:p>
        </w:tc>
      </w:tr>
      <w:tr w:rsidR="00B85ED9" w:rsidRPr="00354C36" w:rsidTr="00354C3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ABRIL</w:t>
            </w:r>
          </w:p>
        </w:tc>
        <w:tc>
          <w:tcPr>
            <w:tcW w:w="1286" w:type="dxa"/>
            <w:tcBorders>
              <w:top w:val="nil"/>
              <w:left w:val="nil"/>
              <w:bottom w:val="single" w:sz="4"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16-jul-10</w:t>
            </w:r>
          </w:p>
        </w:tc>
        <w:tc>
          <w:tcPr>
            <w:tcW w:w="1134" w:type="dxa"/>
            <w:tcBorders>
              <w:top w:val="nil"/>
              <w:left w:val="nil"/>
              <w:bottom w:val="single" w:sz="4"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31-may-10</w:t>
            </w:r>
          </w:p>
        </w:tc>
      </w:tr>
      <w:tr w:rsidR="00B85ED9" w:rsidRPr="00354C36" w:rsidTr="00354C3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MAYO</w:t>
            </w:r>
          </w:p>
        </w:tc>
        <w:tc>
          <w:tcPr>
            <w:tcW w:w="1286" w:type="dxa"/>
            <w:tcBorders>
              <w:top w:val="nil"/>
              <w:left w:val="nil"/>
              <w:bottom w:val="single" w:sz="4"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16-jul-10</w:t>
            </w:r>
          </w:p>
        </w:tc>
        <w:tc>
          <w:tcPr>
            <w:tcW w:w="1134" w:type="dxa"/>
            <w:tcBorders>
              <w:top w:val="nil"/>
              <w:left w:val="nil"/>
              <w:bottom w:val="single" w:sz="4"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30-jun-10</w:t>
            </w:r>
          </w:p>
        </w:tc>
      </w:tr>
      <w:tr w:rsidR="00B85ED9" w:rsidRPr="00354C36" w:rsidTr="00354C36">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JUNIO</w:t>
            </w:r>
          </w:p>
        </w:tc>
        <w:tc>
          <w:tcPr>
            <w:tcW w:w="1286" w:type="dxa"/>
            <w:tcBorders>
              <w:top w:val="nil"/>
              <w:left w:val="nil"/>
              <w:bottom w:val="single" w:sz="4"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16-ago-10</w:t>
            </w:r>
          </w:p>
        </w:tc>
        <w:tc>
          <w:tcPr>
            <w:tcW w:w="1134" w:type="dxa"/>
            <w:tcBorders>
              <w:top w:val="nil"/>
              <w:left w:val="nil"/>
              <w:bottom w:val="single" w:sz="4"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31-jul-10</w:t>
            </w:r>
          </w:p>
        </w:tc>
      </w:tr>
      <w:tr w:rsidR="00B85ED9" w:rsidRPr="00354C36" w:rsidTr="00354C36">
        <w:trPr>
          <w:trHeight w:val="31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B85ED9" w:rsidRPr="00354C36" w:rsidRDefault="00B85ED9">
            <w:pPr>
              <w:rPr>
                <w:rFonts w:ascii="Arial Narrow" w:hAnsi="Arial Narrow"/>
                <w:color w:val="000000"/>
                <w:sz w:val="18"/>
                <w:szCs w:val="18"/>
              </w:rPr>
            </w:pPr>
            <w:r w:rsidRPr="00354C36">
              <w:rPr>
                <w:rFonts w:ascii="Arial Narrow" w:hAnsi="Arial Narrow"/>
                <w:color w:val="000000"/>
                <w:sz w:val="18"/>
                <w:szCs w:val="18"/>
              </w:rPr>
              <w:t>JULIO</w:t>
            </w:r>
          </w:p>
        </w:tc>
        <w:tc>
          <w:tcPr>
            <w:tcW w:w="1286" w:type="dxa"/>
            <w:tcBorders>
              <w:top w:val="nil"/>
              <w:left w:val="nil"/>
              <w:bottom w:val="single" w:sz="8" w:space="0" w:color="auto"/>
              <w:right w:val="single" w:sz="4"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02-sep-10</w:t>
            </w:r>
          </w:p>
        </w:tc>
        <w:tc>
          <w:tcPr>
            <w:tcW w:w="1134" w:type="dxa"/>
            <w:tcBorders>
              <w:top w:val="nil"/>
              <w:left w:val="nil"/>
              <w:bottom w:val="single" w:sz="8" w:space="0" w:color="auto"/>
              <w:right w:val="single" w:sz="8" w:space="0" w:color="auto"/>
            </w:tcBorders>
            <w:shd w:val="clear" w:color="auto" w:fill="auto"/>
            <w:noWrap/>
            <w:vAlign w:val="bottom"/>
            <w:hideMark/>
          </w:tcPr>
          <w:p w:rsidR="00B85ED9" w:rsidRPr="00354C36" w:rsidRDefault="00B85ED9">
            <w:pPr>
              <w:jc w:val="right"/>
              <w:rPr>
                <w:rFonts w:ascii="Arial Narrow" w:hAnsi="Arial Narrow"/>
                <w:color w:val="000000"/>
                <w:sz w:val="18"/>
                <w:szCs w:val="18"/>
              </w:rPr>
            </w:pPr>
            <w:r w:rsidRPr="00354C36">
              <w:rPr>
                <w:rFonts w:ascii="Arial Narrow" w:hAnsi="Arial Narrow"/>
                <w:color w:val="000000"/>
                <w:sz w:val="18"/>
                <w:szCs w:val="18"/>
              </w:rPr>
              <w:t>31-ago-10</w:t>
            </w:r>
          </w:p>
        </w:tc>
      </w:tr>
    </w:tbl>
    <w:p w:rsidR="00DF3E7F" w:rsidRPr="00354C36" w:rsidRDefault="00DF3E7F" w:rsidP="00F40379">
      <w:pPr>
        <w:jc w:val="both"/>
        <w:rPr>
          <w:rFonts w:ascii="Arial Narrow" w:hAnsi="Arial Narrow"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3109"/>
        <w:gridCol w:w="3109"/>
        <w:gridCol w:w="3282"/>
      </w:tblGrid>
      <w:tr w:rsidR="00DF3E7F" w:rsidRPr="00D855E0" w:rsidTr="00354C36">
        <w:trPr>
          <w:trHeight w:val="674"/>
        </w:trPr>
        <w:tc>
          <w:tcPr>
            <w:tcW w:w="518"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No.</w:t>
            </w:r>
          </w:p>
        </w:tc>
        <w:tc>
          <w:tcPr>
            <w:tcW w:w="3109"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OBSERVACIÓN</w:t>
            </w:r>
          </w:p>
        </w:tc>
        <w:tc>
          <w:tcPr>
            <w:tcW w:w="3109" w:type="dxa"/>
            <w:shd w:val="clear" w:color="auto" w:fill="CCCCCC"/>
          </w:tcPr>
          <w:p w:rsidR="00DF3E7F" w:rsidRPr="00D855E0" w:rsidRDefault="00DF3E7F" w:rsidP="006E56F1">
            <w:pPr>
              <w:jc w:val="center"/>
              <w:rPr>
                <w:rFonts w:ascii="Arial Narrow" w:hAnsi="Arial Narrow" w:cs="Arial"/>
                <w:b/>
                <w:sz w:val="20"/>
                <w:szCs w:val="20"/>
              </w:rPr>
            </w:pPr>
          </w:p>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JUSTIFICACIÓN</w:t>
            </w:r>
          </w:p>
          <w:p w:rsidR="00DF3E7F" w:rsidRPr="00D855E0" w:rsidRDefault="00DF3E7F" w:rsidP="006E56F1">
            <w:pPr>
              <w:rPr>
                <w:rFonts w:ascii="Arial Narrow" w:hAnsi="Arial Narrow" w:cs="Arial"/>
                <w:b/>
                <w:sz w:val="20"/>
                <w:szCs w:val="20"/>
              </w:rPr>
            </w:pPr>
          </w:p>
        </w:tc>
        <w:tc>
          <w:tcPr>
            <w:tcW w:w="3282"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DF3E7F" w:rsidRPr="00D855E0" w:rsidTr="00354C36">
        <w:trPr>
          <w:trHeight w:val="214"/>
        </w:trPr>
        <w:tc>
          <w:tcPr>
            <w:tcW w:w="518" w:type="dxa"/>
            <w:vAlign w:val="center"/>
          </w:tcPr>
          <w:p w:rsidR="00DF3E7F" w:rsidRPr="00D855E0" w:rsidRDefault="00660EE9" w:rsidP="006E56F1">
            <w:pPr>
              <w:spacing w:line="240" w:lineRule="exact"/>
              <w:jc w:val="center"/>
              <w:rPr>
                <w:rFonts w:ascii="Arial Narrow" w:hAnsi="Arial Narrow" w:cs="Arial"/>
                <w:sz w:val="20"/>
                <w:szCs w:val="20"/>
              </w:rPr>
            </w:pPr>
            <w:r w:rsidRPr="00D855E0">
              <w:rPr>
                <w:rFonts w:ascii="Arial Narrow" w:hAnsi="Arial Narrow" w:cs="Arial"/>
                <w:sz w:val="20"/>
                <w:szCs w:val="20"/>
              </w:rPr>
              <w:t>4</w:t>
            </w:r>
          </w:p>
        </w:tc>
        <w:tc>
          <w:tcPr>
            <w:tcW w:w="3109" w:type="dxa"/>
          </w:tcPr>
          <w:p w:rsidR="00B85ED9" w:rsidRPr="00D855E0" w:rsidRDefault="00B85ED9" w:rsidP="00B85ED9">
            <w:pPr>
              <w:jc w:val="both"/>
              <w:rPr>
                <w:rFonts w:ascii="Arial Narrow" w:hAnsi="Arial Narrow" w:cs="Arial"/>
              </w:rPr>
            </w:pPr>
            <w:r w:rsidRPr="00D855E0">
              <w:rPr>
                <w:rFonts w:ascii="Arial Narrow" w:hAnsi="Arial Narrow" w:cs="Arial"/>
              </w:rPr>
              <w:t>El sujeto fiscalizado presento en forma extemporánea ante el Servicio de Administración Tributaria (SAT), las declaraciones informativas mensuales de operaciones realizadas con terceros (DIOT), correspondientes al periodo de enero y de marzo a julio de 2010, conforme a lo siguiente.</w:t>
            </w:r>
          </w:p>
          <w:p w:rsidR="00DF3E7F" w:rsidRPr="00D855E0" w:rsidRDefault="00DF3E7F" w:rsidP="000567F2">
            <w:pPr>
              <w:jc w:val="both"/>
              <w:rPr>
                <w:rFonts w:ascii="Arial Narrow" w:hAnsi="Arial Narrow" w:cs="Arial"/>
                <w:sz w:val="20"/>
                <w:szCs w:val="20"/>
              </w:rPr>
            </w:pPr>
          </w:p>
        </w:tc>
        <w:tc>
          <w:tcPr>
            <w:tcW w:w="3109" w:type="dxa"/>
          </w:tcPr>
          <w:p w:rsidR="00DF3E7F" w:rsidRPr="00443483" w:rsidRDefault="00C46049" w:rsidP="006E56F1">
            <w:pPr>
              <w:jc w:val="both"/>
              <w:rPr>
                <w:rFonts w:ascii="Arial Narrow" w:hAnsi="Arial Narrow" w:cs="Arial"/>
              </w:rPr>
            </w:pPr>
            <w:r w:rsidRPr="00443483">
              <w:rPr>
                <w:rFonts w:ascii="Arial Narrow" w:hAnsi="Arial Narrow" w:cs="Arial"/>
              </w:rPr>
              <w:t>Efectivamente las declaraciones informativas mensuales de operaciones realizadas con terceros fueron presentadas en forma extemporánea, debido a que según la segunda revisión del 2009 que se realizo a principios del 2010,  se observo que durante el 2009 no se presento ninguna declaración, por lo que se trabajo para presentar las de ese año observado, así como la presentación de las del ejercicio actual, por tal motivo las del 2010 fueron presentadas con esa extemporaneidad.</w:t>
            </w:r>
          </w:p>
        </w:tc>
        <w:tc>
          <w:tcPr>
            <w:tcW w:w="3282" w:type="dxa"/>
          </w:tcPr>
          <w:p w:rsidR="00DF3E7F" w:rsidRPr="00443483" w:rsidRDefault="00C46049" w:rsidP="006E56F1">
            <w:pPr>
              <w:jc w:val="both"/>
              <w:rPr>
                <w:rFonts w:ascii="Arial Narrow" w:hAnsi="Arial Narrow" w:cs="Arial"/>
              </w:rPr>
            </w:pPr>
            <w:r w:rsidRPr="00443483">
              <w:rPr>
                <w:rFonts w:ascii="Arial Narrow" w:hAnsi="Arial Narrow" w:cs="Arial"/>
              </w:rPr>
              <w:t xml:space="preserve">Se han tomado las medidas pertinentes para conocer las fechas de presentación de declaraciones, así mismo a través del oficio enviado a la directora administrativa según </w:t>
            </w:r>
            <w:r w:rsidRPr="00443483">
              <w:rPr>
                <w:rFonts w:ascii="Arial Narrow" w:hAnsi="Arial Narrow" w:cs="Arial"/>
                <w:b/>
              </w:rPr>
              <w:t>anexo # 4.</w:t>
            </w:r>
          </w:p>
        </w:tc>
      </w:tr>
    </w:tbl>
    <w:p w:rsidR="00660EE9" w:rsidRPr="00D855E0" w:rsidRDefault="00660EE9" w:rsidP="00DF3E7F">
      <w:pPr>
        <w:jc w:val="both"/>
        <w:rPr>
          <w:rFonts w:ascii="Arial Narrow" w:hAnsi="Arial Narrow" w:cs="Arial"/>
          <w:b/>
        </w:rPr>
      </w:pPr>
    </w:p>
    <w:p w:rsidR="00660EE9" w:rsidRDefault="00660EE9"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354C36" w:rsidRDefault="00354C36" w:rsidP="00DF3E7F">
      <w:pPr>
        <w:jc w:val="both"/>
        <w:rPr>
          <w:rFonts w:ascii="Arial Narrow" w:hAnsi="Arial Narrow" w:cs="Arial"/>
          <w:b/>
        </w:rPr>
      </w:pPr>
    </w:p>
    <w:p w:rsidR="00DF3E7F" w:rsidRPr="00D855E0" w:rsidRDefault="00F40379" w:rsidP="00F40379">
      <w:pPr>
        <w:pStyle w:val="Prrafodelista"/>
        <w:numPr>
          <w:ilvl w:val="0"/>
          <w:numId w:val="2"/>
        </w:numPr>
        <w:jc w:val="both"/>
        <w:rPr>
          <w:rFonts w:ascii="Arial Narrow" w:hAnsi="Arial Narrow" w:cs="Arial"/>
          <w:b/>
        </w:rPr>
      </w:pPr>
      <w:r w:rsidRPr="00D855E0">
        <w:rPr>
          <w:rFonts w:ascii="Arial Narrow" w:hAnsi="Arial Narrow" w:cs="Arial"/>
          <w:b/>
        </w:rPr>
        <w:lastRenderedPageBreak/>
        <w:t xml:space="preserve">En relación con la revisión de la partida 3301 denominada “asesoría y capacitación”, el sujeto fiscalizado no exhibió a los auditores del ISAF, los informes mensuales de los prestadores de servicios, los cuales debían entregar conforme a la clausula decima segunda y séptima de los contratos de prestación de servicios profesionales, mismos que se integran a continuación. </w:t>
      </w:r>
    </w:p>
    <w:p w:rsidR="00507CD2" w:rsidRPr="00D855E0" w:rsidRDefault="00507CD2" w:rsidP="00507CD2">
      <w:pPr>
        <w:pStyle w:val="Prrafodelista"/>
        <w:jc w:val="both"/>
        <w:rPr>
          <w:rFonts w:ascii="Arial Narrow" w:hAnsi="Arial Narrow" w:cs="Arial"/>
          <w:b/>
        </w:rPr>
      </w:pPr>
    </w:p>
    <w:tbl>
      <w:tblPr>
        <w:tblW w:w="10225" w:type="dxa"/>
        <w:tblInd w:w="-516" w:type="dxa"/>
        <w:tblCellMar>
          <w:left w:w="70" w:type="dxa"/>
          <w:right w:w="70" w:type="dxa"/>
        </w:tblCellMar>
        <w:tblLook w:val="04A0"/>
      </w:tblPr>
      <w:tblGrid>
        <w:gridCol w:w="1198"/>
        <w:gridCol w:w="1198"/>
        <w:gridCol w:w="3075"/>
        <w:gridCol w:w="3096"/>
        <w:gridCol w:w="1658"/>
      </w:tblGrid>
      <w:tr w:rsidR="00F40379" w:rsidRPr="00D855E0" w:rsidTr="00507CD2">
        <w:trPr>
          <w:trHeight w:val="454"/>
        </w:trPr>
        <w:tc>
          <w:tcPr>
            <w:tcW w:w="1198" w:type="dxa"/>
            <w:tcBorders>
              <w:top w:val="single" w:sz="8" w:space="0" w:color="auto"/>
              <w:left w:val="single" w:sz="8" w:space="0" w:color="auto"/>
              <w:bottom w:val="single" w:sz="8" w:space="0" w:color="auto"/>
              <w:right w:val="nil"/>
            </w:tcBorders>
            <w:shd w:val="clear" w:color="000000" w:fill="A5A5A5"/>
            <w:vAlign w:val="bottom"/>
            <w:hideMark/>
          </w:tcPr>
          <w:p w:rsidR="00F40379" w:rsidRPr="00D855E0" w:rsidRDefault="00F40379">
            <w:pPr>
              <w:jc w:val="center"/>
              <w:rPr>
                <w:rFonts w:ascii="Arial Narrow" w:hAnsi="Arial Narrow"/>
                <w:b/>
                <w:bCs/>
                <w:color w:val="000000"/>
              </w:rPr>
            </w:pPr>
            <w:r w:rsidRPr="00D855E0">
              <w:rPr>
                <w:rFonts w:ascii="Arial Narrow" w:hAnsi="Arial Narrow"/>
                <w:b/>
                <w:bCs/>
                <w:color w:val="000000"/>
                <w:sz w:val="22"/>
                <w:szCs w:val="22"/>
              </w:rPr>
              <w:t>Fecha</w:t>
            </w:r>
          </w:p>
        </w:tc>
        <w:tc>
          <w:tcPr>
            <w:tcW w:w="1198" w:type="dxa"/>
            <w:tcBorders>
              <w:top w:val="single" w:sz="8" w:space="0" w:color="auto"/>
              <w:left w:val="single" w:sz="8" w:space="0" w:color="auto"/>
              <w:bottom w:val="single" w:sz="8" w:space="0" w:color="auto"/>
              <w:right w:val="single" w:sz="8" w:space="0" w:color="auto"/>
            </w:tcBorders>
            <w:shd w:val="clear" w:color="000000" w:fill="A5A5A5"/>
            <w:vAlign w:val="bottom"/>
            <w:hideMark/>
          </w:tcPr>
          <w:p w:rsidR="00F40379" w:rsidRPr="00D855E0" w:rsidRDefault="00F40379">
            <w:pPr>
              <w:jc w:val="center"/>
              <w:rPr>
                <w:rFonts w:ascii="Arial Narrow" w:hAnsi="Arial Narrow"/>
                <w:b/>
                <w:bCs/>
                <w:color w:val="000000"/>
              </w:rPr>
            </w:pPr>
            <w:r w:rsidRPr="00D855E0">
              <w:rPr>
                <w:rFonts w:ascii="Arial Narrow" w:hAnsi="Arial Narrow"/>
                <w:b/>
                <w:bCs/>
                <w:color w:val="000000"/>
                <w:sz w:val="22"/>
                <w:szCs w:val="22"/>
              </w:rPr>
              <w:t xml:space="preserve">No. De </w:t>
            </w:r>
            <w:r w:rsidR="002A2BB5" w:rsidRPr="00D855E0">
              <w:rPr>
                <w:rFonts w:ascii="Arial Narrow" w:hAnsi="Arial Narrow"/>
                <w:b/>
                <w:bCs/>
                <w:color w:val="000000"/>
                <w:sz w:val="22"/>
                <w:szCs w:val="22"/>
              </w:rPr>
              <w:t>póliza</w:t>
            </w:r>
          </w:p>
        </w:tc>
        <w:tc>
          <w:tcPr>
            <w:tcW w:w="3075" w:type="dxa"/>
            <w:tcBorders>
              <w:top w:val="single" w:sz="8" w:space="0" w:color="auto"/>
              <w:left w:val="nil"/>
              <w:bottom w:val="single" w:sz="8" w:space="0" w:color="auto"/>
              <w:right w:val="nil"/>
            </w:tcBorders>
            <w:shd w:val="clear" w:color="000000" w:fill="A5A5A5"/>
            <w:vAlign w:val="bottom"/>
            <w:hideMark/>
          </w:tcPr>
          <w:p w:rsidR="00F40379" w:rsidRPr="00D855E0" w:rsidRDefault="00F40379">
            <w:pPr>
              <w:jc w:val="center"/>
              <w:rPr>
                <w:rFonts w:ascii="Arial Narrow" w:hAnsi="Arial Narrow"/>
                <w:b/>
                <w:bCs/>
                <w:color w:val="000000"/>
              </w:rPr>
            </w:pPr>
            <w:r w:rsidRPr="00D855E0">
              <w:rPr>
                <w:rFonts w:ascii="Arial Narrow" w:hAnsi="Arial Narrow"/>
                <w:b/>
                <w:bCs/>
                <w:color w:val="000000"/>
                <w:sz w:val="22"/>
                <w:szCs w:val="22"/>
              </w:rPr>
              <w:t>Nombre del Prestador de Servicios</w:t>
            </w:r>
          </w:p>
        </w:tc>
        <w:tc>
          <w:tcPr>
            <w:tcW w:w="3096" w:type="dxa"/>
            <w:tcBorders>
              <w:top w:val="single" w:sz="8" w:space="0" w:color="auto"/>
              <w:left w:val="single" w:sz="8" w:space="0" w:color="auto"/>
              <w:bottom w:val="single" w:sz="8" w:space="0" w:color="auto"/>
              <w:right w:val="single" w:sz="8" w:space="0" w:color="auto"/>
            </w:tcBorders>
            <w:shd w:val="clear" w:color="000000" w:fill="A5A5A5"/>
            <w:vAlign w:val="bottom"/>
            <w:hideMark/>
          </w:tcPr>
          <w:p w:rsidR="00F40379" w:rsidRPr="00D855E0" w:rsidRDefault="00F40379">
            <w:pPr>
              <w:jc w:val="center"/>
              <w:rPr>
                <w:rFonts w:ascii="Arial Narrow" w:hAnsi="Arial Narrow"/>
                <w:b/>
                <w:bCs/>
                <w:color w:val="000000"/>
              </w:rPr>
            </w:pPr>
            <w:r w:rsidRPr="00D855E0">
              <w:rPr>
                <w:rFonts w:ascii="Arial Narrow" w:hAnsi="Arial Narrow"/>
                <w:b/>
                <w:bCs/>
                <w:color w:val="000000"/>
                <w:sz w:val="22"/>
                <w:szCs w:val="22"/>
              </w:rPr>
              <w:t>Concepto</w:t>
            </w:r>
          </w:p>
        </w:tc>
        <w:tc>
          <w:tcPr>
            <w:tcW w:w="1658" w:type="dxa"/>
            <w:tcBorders>
              <w:top w:val="single" w:sz="8" w:space="0" w:color="auto"/>
              <w:left w:val="nil"/>
              <w:bottom w:val="single" w:sz="8" w:space="0" w:color="auto"/>
              <w:right w:val="single" w:sz="8" w:space="0" w:color="auto"/>
            </w:tcBorders>
            <w:shd w:val="clear" w:color="000000" w:fill="A5A5A5"/>
            <w:vAlign w:val="bottom"/>
            <w:hideMark/>
          </w:tcPr>
          <w:p w:rsidR="00F40379" w:rsidRPr="00D855E0" w:rsidRDefault="00F40379" w:rsidP="00507CD2">
            <w:pPr>
              <w:ind w:left="29" w:hanging="29"/>
              <w:jc w:val="center"/>
              <w:rPr>
                <w:rFonts w:ascii="Arial Narrow" w:hAnsi="Arial Narrow"/>
                <w:b/>
                <w:bCs/>
                <w:color w:val="000000"/>
              </w:rPr>
            </w:pPr>
            <w:r w:rsidRPr="00D855E0">
              <w:rPr>
                <w:rFonts w:ascii="Arial Narrow" w:hAnsi="Arial Narrow"/>
                <w:b/>
                <w:bCs/>
                <w:color w:val="000000"/>
                <w:sz w:val="22"/>
                <w:szCs w:val="22"/>
              </w:rPr>
              <w:t>Importe</w:t>
            </w:r>
          </w:p>
        </w:tc>
      </w:tr>
      <w:tr w:rsidR="00F40379" w:rsidRPr="00D855E0" w:rsidTr="00507CD2">
        <w:trPr>
          <w:trHeight w:val="580"/>
        </w:trPr>
        <w:tc>
          <w:tcPr>
            <w:tcW w:w="1198" w:type="dxa"/>
            <w:tcBorders>
              <w:top w:val="nil"/>
              <w:left w:val="single" w:sz="8" w:space="0" w:color="auto"/>
              <w:bottom w:val="single" w:sz="4" w:space="0" w:color="auto"/>
              <w:right w:val="single" w:sz="4" w:space="0" w:color="auto"/>
            </w:tcBorders>
            <w:shd w:val="clear" w:color="auto" w:fill="auto"/>
            <w:noWrap/>
            <w:vAlign w:val="bottom"/>
            <w:hideMark/>
          </w:tcPr>
          <w:p w:rsidR="00F40379" w:rsidRPr="00D855E0" w:rsidRDefault="00F40379">
            <w:pPr>
              <w:jc w:val="right"/>
              <w:rPr>
                <w:rFonts w:ascii="Arial Narrow" w:hAnsi="Arial Narrow"/>
                <w:color w:val="000000"/>
              </w:rPr>
            </w:pPr>
            <w:r w:rsidRPr="00D855E0">
              <w:rPr>
                <w:rFonts w:ascii="Arial Narrow" w:hAnsi="Arial Narrow"/>
                <w:color w:val="000000"/>
                <w:sz w:val="22"/>
                <w:szCs w:val="22"/>
              </w:rPr>
              <w:t>11-may-10</w:t>
            </w:r>
          </w:p>
        </w:tc>
        <w:tc>
          <w:tcPr>
            <w:tcW w:w="1198" w:type="dxa"/>
            <w:tcBorders>
              <w:top w:val="nil"/>
              <w:left w:val="nil"/>
              <w:bottom w:val="single" w:sz="4" w:space="0" w:color="auto"/>
              <w:right w:val="single" w:sz="4" w:space="0" w:color="auto"/>
            </w:tcBorders>
            <w:shd w:val="clear" w:color="auto" w:fill="auto"/>
            <w:noWrap/>
            <w:vAlign w:val="bottom"/>
            <w:hideMark/>
          </w:tcPr>
          <w:p w:rsidR="00F40379" w:rsidRPr="00D855E0" w:rsidRDefault="00F40379">
            <w:pPr>
              <w:rPr>
                <w:rFonts w:ascii="Arial Narrow" w:hAnsi="Arial Narrow"/>
                <w:color w:val="000000"/>
              </w:rPr>
            </w:pPr>
            <w:r w:rsidRPr="00D855E0">
              <w:rPr>
                <w:rFonts w:ascii="Arial Narrow" w:hAnsi="Arial Narrow"/>
                <w:color w:val="000000"/>
                <w:sz w:val="22"/>
                <w:szCs w:val="22"/>
              </w:rPr>
              <w:t>PE/2225</w:t>
            </w:r>
          </w:p>
        </w:tc>
        <w:tc>
          <w:tcPr>
            <w:tcW w:w="3075" w:type="dxa"/>
            <w:tcBorders>
              <w:top w:val="nil"/>
              <w:left w:val="nil"/>
              <w:bottom w:val="single" w:sz="4" w:space="0" w:color="auto"/>
              <w:right w:val="single" w:sz="4" w:space="0" w:color="auto"/>
            </w:tcBorders>
            <w:shd w:val="clear" w:color="auto" w:fill="auto"/>
            <w:noWrap/>
            <w:vAlign w:val="bottom"/>
            <w:hideMark/>
          </w:tcPr>
          <w:p w:rsidR="00F40379" w:rsidRPr="00D855E0" w:rsidRDefault="00F40379">
            <w:pPr>
              <w:rPr>
                <w:rFonts w:ascii="Arial Narrow" w:hAnsi="Arial Narrow"/>
                <w:color w:val="000000"/>
              </w:rPr>
            </w:pPr>
            <w:r w:rsidRPr="00D855E0">
              <w:rPr>
                <w:rFonts w:ascii="Arial Narrow" w:hAnsi="Arial Narrow"/>
                <w:color w:val="000000"/>
                <w:sz w:val="22"/>
                <w:szCs w:val="22"/>
              </w:rPr>
              <w:t>JOSE DE JESUS LOPEZ DORANTES</w:t>
            </w:r>
          </w:p>
        </w:tc>
        <w:tc>
          <w:tcPr>
            <w:tcW w:w="3096" w:type="dxa"/>
            <w:tcBorders>
              <w:top w:val="nil"/>
              <w:left w:val="nil"/>
              <w:bottom w:val="single" w:sz="4" w:space="0" w:color="auto"/>
              <w:right w:val="single" w:sz="4" w:space="0" w:color="auto"/>
            </w:tcBorders>
            <w:shd w:val="clear" w:color="auto" w:fill="auto"/>
            <w:vAlign w:val="bottom"/>
            <w:hideMark/>
          </w:tcPr>
          <w:p w:rsidR="00F40379" w:rsidRPr="00D855E0" w:rsidRDefault="00F40379">
            <w:pPr>
              <w:jc w:val="center"/>
              <w:rPr>
                <w:rFonts w:ascii="Arial Narrow" w:hAnsi="Arial Narrow"/>
                <w:color w:val="000000"/>
              </w:rPr>
            </w:pPr>
            <w:r w:rsidRPr="00D855E0">
              <w:rPr>
                <w:rFonts w:ascii="Arial Narrow" w:hAnsi="Arial Narrow"/>
                <w:color w:val="000000"/>
                <w:sz w:val="22"/>
                <w:szCs w:val="22"/>
              </w:rPr>
              <w:t xml:space="preserve">Servicios profesionales en el </w:t>
            </w:r>
            <w:r w:rsidR="00507CD2" w:rsidRPr="00D855E0">
              <w:rPr>
                <w:rFonts w:ascii="Arial Narrow" w:hAnsi="Arial Narrow"/>
                <w:color w:val="000000"/>
                <w:sz w:val="22"/>
                <w:szCs w:val="22"/>
              </w:rPr>
              <w:t>área</w:t>
            </w:r>
            <w:r w:rsidRPr="00D855E0">
              <w:rPr>
                <w:rFonts w:ascii="Arial Narrow" w:hAnsi="Arial Narrow"/>
                <w:color w:val="000000"/>
                <w:sz w:val="22"/>
                <w:szCs w:val="22"/>
              </w:rPr>
              <w:t xml:space="preserve"> de </w:t>
            </w:r>
            <w:r w:rsidR="00507CD2" w:rsidRPr="00D855E0">
              <w:rPr>
                <w:rFonts w:ascii="Arial Narrow" w:hAnsi="Arial Narrow"/>
                <w:color w:val="000000"/>
                <w:sz w:val="22"/>
                <w:szCs w:val="22"/>
              </w:rPr>
              <w:t>motivación</w:t>
            </w:r>
            <w:r w:rsidRPr="00D855E0">
              <w:rPr>
                <w:rFonts w:ascii="Arial Narrow" w:hAnsi="Arial Narrow"/>
                <w:color w:val="000000"/>
                <w:sz w:val="22"/>
                <w:szCs w:val="22"/>
              </w:rPr>
              <w:t xml:space="preserve">, </w:t>
            </w:r>
            <w:r w:rsidR="00507CD2" w:rsidRPr="00D855E0">
              <w:rPr>
                <w:rFonts w:ascii="Arial Narrow" w:hAnsi="Arial Narrow"/>
                <w:color w:val="000000"/>
                <w:sz w:val="22"/>
                <w:szCs w:val="22"/>
              </w:rPr>
              <w:t>capacitación</w:t>
            </w:r>
            <w:r w:rsidRPr="00D855E0">
              <w:rPr>
                <w:rFonts w:ascii="Arial Narrow" w:hAnsi="Arial Narrow"/>
                <w:color w:val="000000"/>
                <w:sz w:val="22"/>
                <w:szCs w:val="22"/>
              </w:rPr>
              <w:t xml:space="preserve"> y </w:t>
            </w:r>
            <w:r w:rsidR="00507CD2" w:rsidRPr="00D855E0">
              <w:rPr>
                <w:rFonts w:ascii="Arial Narrow" w:hAnsi="Arial Narrow"/>
                <w:color w:val="000000"/>
                <w:sz w:val="22"/>
                <w:szCs w:val="22"/>
              </w:rPr>
              <w:t>consultoría</w:t>
            </w:r>
          </w:p>
        </w:tc>
        <w:tc>
          <w:tcPr>
            <w:tcW w:w="1658" w:type="dxa"/>
            <w:tcBorders>
              <w:top w:val="nil"/>
              <w:left w:val="nil"/>
              <w:bottom w:val="single" w:sz="4" w:space="0" w:color="auto"/>
              <w:right w:val="single" w:sz="8" w:space="0" w:color="auto"/>
            </w:tcBorders>
            <w:shd w:val="clear" w:color="auto" w:fill="auto"/>
            <w:noWrap/>
            <w:vAlign w:val="bottom"/>
            <w:hideMark/>
          </w:tcPr>
          <w:p w:rsidR="00F40379" w:rsidRPr="00D855E0" w:rsidRDefault="00F40379">
            <w:pPr>
              <w:rPr>
                <w:rFonts w:ascii="Arial Narrow" w:hAnsi="Arial Narrow"/>
                <w:color w:val="000000"/>
              </w:rPr>
            </w:pPr>
            <w:r w:rsidRPr="00D855E0">
              <w:rPr>
                <w:rFonts w:ascii="Arial Narrow" w:hAnsi="Arial Narrow"/>
                <w:color w:val="000000"/>
                <w:sz w:val="22"/>
                <w:szCs w:val="22"/>
              </w:rPr>
              <w:t xml:space="preserve"> $  200,000.00 </w:t>
            </w:r>
          </w:p>
        </w:tc>
      </w:tr>
      <w:tr w:rsidR="00F40379" w:rsidRPr="00D855E0" w:rsidTr="00507CD2">
        <w:trPr>
          <w:trHeight w:val="1054"/>
        </w:trPr>
        <w:tc>
          <w:tcPr>
            <w:tcW w:w="1198" w:type="dxa"/>
            <w:tcBorders>
              <w:top w:val="nil"/>
              <w:left w:val="single" w:sz="8" w:space="0" w:color="auto"/>
              <w:bottom w:val="single" w:sz="4" w:space="0" w:color="auto"/>
              <w:right w:val="single" w:sz="4" w:space="0" w:color="auto"/>
            </w:tcBorders>
            <w:shd w:val="clear" w:color="auto" w:fill="auto"/>
            <w:noWrap/>
            <w:vAlign w:val="bottom"/>
            <w:hideMark/>
          </w:tcPr>
          <w:p w:rsidR="00F40379" w:rsidRPr="00D855E0" w:rsidRDefault="00F40379">
            <w:pPr>
              <w:jc w:val="right"/>
              <w:rPr>
                <w:rFonts w:ascii="Arial Narrow" w:hAnsi="Arial Narrow"/>
                <w:color w:val="000000"/>
              </w:rPr>
            </w:pPr>
            <w:r w:rsidRPr="00D855E0">
              <w:rPr>
                <w:rFonts w:ascii="Arial Narrow" w:hAnsi="Arial Narrow"/>
                <w:color w:val="000000"/>
                <w:sz w:val="22"/>
                <w:szCs w:val="22"/>
              </w:rPr>
              <w:t>31-may-10</w:t>
            </w:r>
          </w:p>
        </w:tc>
        <w:tc>
          <w:tcPr>
            <w:tcW w:w="1198" w:type="dxa"/>
            <w:tcBorders>
              <w:top w:val="nil"/>
              <w:left w:val="nil"/>
              <w:bottom w:val="single" w:sz="4" w:space="0" w:color="auto"/>
              <w:right w:val="single" w:sz="4" w:space="0" w:color="auto"/>
            </w:tcBorders>
            <w:shd w:val="clear" w:color="auto" w:fill="auto"/>
            <w:noWrap/>
            <w:vAlign w:val="bottom"/>
            <w:hideMark/>
          </w:tcPr>
          <w:p w:rsidR="00F40379" w:rsidRPr="00D855E0" w:rsidRDefault="00F40379">
            <w:pPr>
              <w:rPr>
                <w:rFonts w:ascii="Arial Narrow" w:hAnsi="Arial Narrow"/>
                <w:color w:val="000000"/>
              </w:rPr>
            </w:pPr>
            <w:r w:rsidRPr="00D855E0">
              <w:rPr>
                <w:rFonts w:ascii="Arial Narrow" w:hAnsi="Arial Narrow"/>
                <w:color w:val="000000"/>
                <w:sz w:val="22"/>
                <w:szCs w:val="22"/>
              </w:rPr>
              <w:t>PD/12</w:t>
            </w:r>
          </w:p>
        </w:tc>
        <w:tc>
          <w:tcPr>
            <w:tcW w:w="3075" w:type="dxa"/>
            <w:tcBorders>
              <w:top w:val="nil"/>
              <w:left w:val="nil"/>
              <w:bottom w:val="single" w:sz="4" w:space="0" w:color="auto"/>
              <w:right w:val="single" w:sz="4" w:space="0" w:color="auto"/>
            </w:tcBorders>
            <w:shd w:val="clear" w:color="auto" w:fill="auto"/>
            <w:noWrap/>
            <w:vAlign w:val="bottom"/>
            <w:hideMark/>
          </w:tcPr>
          <w:p w:rsidR="00F40379" w:rsidRPr="00D855E0" w:rsidRDefault="00F40379">
            <w:pPr>
              <w:rPr>
                <w:rFonts w:ascii="Arial Narrow" w:hAnsi="Arial Narrow"/>
                <w:color w:val="000000"/>
              </w:rPr>
            </w:pPr>
            <w:r w:rsidRPr="00D855E0">
              <w:rPr>
                <w:rFonts w:ascii="Arial Narrow" w:hAnsi="Arial Narrow"/>
                <w:color w:val="000000"/>
                <w:sz w:val="22"/>
                <w:szCs w:val="22"/>
              </w:rPr>
              <w:t>KEOPS ZIDRIK OCHOA</w:t>
            </w:r>
          </w:p>
        </w:tc>
        <w:tc>
          <w:tcPr>
            <w:tcW w:w="3096" w:type="dxa"/>
            <w:tcBorders>
              <w:top w:val="nil"/>
              <w:left w:val="nil"/>
              <w:bottom w:val="single" w:sz="4" w:space="0" w:color="auto"/>
              <w:right w:val="single" w:sz="4" w:space="0" w:color="auto"/>
            </w:tcBorders>
            <w:shd w:val="clear" w:color="auto" w:fill="auto"/>
            <w:vAlign w:val="bottom"/>
            <w:hideMark/>
          </w:tcPr>
          <w:p w:rsidR="00F40379" w:rsidRPr="00D855E0" w:rsidRDefault="00F40379">
            <w:pPr>
              <w:jc w:val="center"/>
              <w:rPr>
                <w:rFonts w:ascii="Arial Narrow" w:hAnsi="Arial Narrow"/>
                <w:color w:val="000000"/>
              </w:rPr>
            </w:pPr>
            <w:r w:rsidRPr="00D855E0">
              <w:rPr>
                <w:rFonts w:ascii="Arial Narrow" w:hAnsi="Arial Narrow"/>
                <w:color w:val="000000"/>
                <w:sz w:val="22"/>
                <w:szCs w:val="22"/>
              </w:rPr>
              <w:t xml:space="preserve">Desarrollar servicios en el </w:t>
            </w:r>
            <w:r w:rsidR="00507CD2" w:rsidRPr="00D855E0">
              <w:rPr>
                <w:rFonts w:ascii="Arial Narrow" w:hAnsi="Arial Narrow"/>
                <w:color w:val="000000"/>
                <w:sz w:val="22"/>
                <w:szCs w:val="22"/>
              </w:rPr>
              <w:t>área</w:t>
            </w:r>
            <w:r w:rsidRPr="00D855E0">
              <w:rPr>
                <w:rFonts w:ascii="Arial Narrow" w:hAnsi="Arial Narrow"/>
                <w:color w:val="000000"/>
                <w:sz w:val="22"/>
                <w:szCs w:val="22"/>
              </w:rPr>
              <w:t xml:space="preserve"> de comunicación visual, </w:t>
            </w:r>
            <w:r w:rsidR="00507CD2" w:rsidRPr="00D855E0">
              <w:rPr>
                <w:rFonts w:ascii="Arial Narrow" w:hAnsi="Arial Narrow"/>
                <w:color w:val="000000"/>
                <w:sz w:val="22"/>
                <w:szCs w:val="22"/>
              </w:rPr>
              <w:t>conceptualización</w:t>
            </w:r>
            <w:r w:rsidRPr="00D855E0">
              <w:rPr>
                <w:rFonts w:ascii="Arial Narrow" w:hAnsi="Arial Narrow"/>
                <w:color w:val="000000"/>
                <w:sz w:val="22"/>
                <w:szCs w:val="22"/>
              </w:rPr>
              <w:t xml:space="preserve">, </w:t>
            </w:r>
            <w:r w:rsidR="00507CD2" w:rsidRPr="00D855E0">
              <w:rPr>
                <w:rFonts w:ascii="Arial Narrow" w:hAnsi="Arial Narrow"/>
                <w:color w:val="000000"/>
                <w:sz w:val="22"/>
                <w:szCs w:val="22"/>
              </w:rPr>
              <w:t>elaboración</w:t>
            </w:r>
            <w:r w:rsidRPr="00D855E0">
              <w:rPr>
                <w:rFonts w:ascii="Arial Narrow" w:hAnsi="Arial Narrow"/>
                <w:color w:val="000000"/>
                <w:sz w:val="22"/>
                <w:szCs w:val="22"/>
              </w:rPr>
              <w:t xml:space="preserve"> de concepto grafico y </w:t>
            </w:r>
            <w:r w:rsidR="00507CD2" w:rsidRPr="00D855E0">
              <w:rPr>
                <w:rFonts w:ascii="Arial Narrow" w:hAnsi="Arial Narrow"/>
                <w:color w:val="000000"/>
                <w:sz w:val="22"/>
                <w:szCs w:val="22"/>
              </w:rPr>
              <w:t>supervisión</w:t>
            </w:r>
            <w:r w:rsidRPr="00D855E0">
              <w:rPr>
                <w:rFonts w:ascii="Arial Narrow" w:hAnsi="Arial Narrow"/>
                <w:color w:val="000000"/>
                <w:sz w:val="22"/>
                <w:szCs w:val="22"/>
              </w:rPr>
              <w:t xml:space="preserve"> de </w:t>
            </w:r>
            <w:r w:rsidR="00507CD2" w:rsidRPr="00D855E0">
              <w:rPr>
                <w:rFonts w:ascii="Arial Narrow" w:hAnsi="Arial Narrow"/>
                <w:color w:val="000000"/>
                <w:sz w:val="22"/>
                <w:szCs w:val="22"/>
              </w:rPr>
              <w:t>producción</w:t>
            </w:r>
          </w:p>
        </w:tc>
        <w:tc>
          <w:tcPr>
            <w:tcW w:w="1658" w:type="dxa"/>
            <w:tcBorders>
              <w:top w:val="nil"/>
              <w:left w:val="nil"/>
              <w:bottom w:val="single" w:sz="4" w:space="0" w:color="auto"/>
              <w:right w:val="single" w:sz="8" w:space="0" w:color="auto"/>
            </w:tcBorders>
            <w:shd w:val="clear" w:color="auto" w:fill="auto"/>
            <w:noWrap/>
            <w:vAlign w:val="bottom"/>
            <w:hideMark/>
          </w:tcPr>
          <w:p w:rsidR="00F40379" w:rsidRPr="00D855E0" w:rsidRDefault="00F40379">
            <w:pPr>
              <w:rPr>
                <w:rFonts w:ascii="Arial Narrow" w:hAnsi="Arial Narrow"/>
                <w:color w:val="000000"/>
              </w:rPr>
            </w:pPr>
            <w:r w:rsidRPr="00D855E0">
              <w:rPr>
                <w:rFonts w:ascii="Arial Narrow" w:hAnsi="Arial Narrow"/>
                <w:color w:val="000000"/>
                <w:sz w:val="22"/>
                <w:szCs w:val="22"/>
              </w:rPr>
              <w:t xml:space="preserve"> $    23,200.00 </w:t>
            </w:r>
          </w:p>
        </w:tc>
      </w:tr>
      <w:tr w:rsidR="00F40379" w:rsidRPr="00D855E0" w:rsidTr="00507CD2">
        <w:trPr>
          <w:trHeight w:val="203"/>
        </w:trPr>
        <w:tc>
          <w:tcPr>
            <w:tcW w:w="8567" w:type="dxa"/>
            <w:gridSpan w:val="4"/>
            <w:tcBorders>
              <w:top w:val="single" w:sz="4" w:space="0" w:color="auto"/>
              <w:left w:val="single" w:sz="8" w:space="0" w:color="auto"/>
              <w:bottom w:val="single" w:sz="8" w:space="0" w:color="auto"/>
              <w:right w:val="single" w:sz="4" w:space="0" w:color="000000"/>
            </w:tcBorders>
            <w:shd w:val="clear" w:color="auto" w:fill="auto"/>
            <w:vAlign w:val="bottom"/>
            <w:hideMark/>
          </w:tcPr>
          <w:p w:rsidR="00F40379" w:rsidRPr="00D855E0" w:rsidRDefault="00F40379">
            <w:pPr>
              <w:jc w:val="center"/>
              <w:rPr>
                <w:rFonts w:ascii="Arial Narrow" w:hAnsi="Arial Narrow"/>
                <w:b/>
                <w:color w:val="000000"/>
              </w:rPr>
            </w:pPr>
            <w:r w:rsidRPr="00D855E0">
              <w:rPr>
                <w:rFonts w:ascii="Arial Narrow" w:hAnsi="Arial Narrow"/>
                <w:b/>
                <w:color w:val="000000"/>
                <w:sz w:val="22"/>
                <w:szCs w:val="22"/>
              </w:rPr>
              <w:t>TOTAL</w:t>
            </w:r>
          </w:p>
        </w:tc>
        <w:tc>
          <w:tcPr>
            <w:tcW w:w="1658" w:type="dxa"/>
            <w:tcBorders>
              <w:top w:val="nil"/>
              <w:left w:val="nil"/>
              <w:bottom w:val="single" w:sz="8" w:space="0" w:color="auto"/>
              <w:right w:val="single" w:sz="8" w:space="0" w:color="auto"/>
            </w:tcBorders>
            <w:shd w:val="clear" w:color="auto" w:fill="auto"/>
            <w:noWrap/>
            <w:vAlign w:val="bottom"/>
            <w:hideMark/>
          </w:tcPr>
          <w:p w:rsidR="00F40379" w:rsidRPr="00D855E0" w:rsidRDefault="00F40379">
            <w:pPr>
              <w:rPr>
                <w:rFonts w:ascii="Arial Narrow" w:hAnsi="Arial Narrow"/>
                <w:b/>
                <w:bCs/>
                <w:color w:val="000000"/>
              </w:rPr>
            </w:pPr>
            <w:r w:rsidRPr="00D855E0">
              <w:rPr>
                <w:rFonts w:ascii="Arial Narrow" w:hAnsi="Arial Narrow"/>
                <w:b/>
                <w:bCs/>
                <w:color w:val="000000"/>
                <w:sz w:val="22"/>
                <w:szCs w:val="22"/>
              </w:rPr>
              <w:t xml:space="preserve"> $  223,200.00 </w:t>
            </w:r>
          </w:p>
        </w:tc>
      </w:tr>
    </w:tbl>
    <w:p w:rsidR="00F40379" w:rsidRPr="00D855E0" w:rsidRDefault="00F40379" w:rsidP="00F40379">
      <w:pPr>
        <w:jc w:val="both"/>
        <w:rPr>
          <w:rFonts w:ascii="Arial Narrow" w:hAnsi="Arial Narrow" w:cs="Arial"/>
          <w:b/>
        </w:rPr>
      </w:pPr>
    </w:p>
    <w:tbl>
      <w:tblPr>
        <w:tblpPr w:leftFromText="141" w:rightFromText="141" w:vertAnchor="text" w:horzAnchor="margin" w:tblpXSpec="center" w:tblpY="129"/>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3151"/>
        <w:gridCol w:w="3151"/>
        <w:gridCol w:w="3327"/>
      </w:tblGrid>
      <w:tr w:rsidR="00507CD2" w:rsidRPr="00D855E0" w:rsidTr="00507CD2">
        <w:trPr>
          <w:trHeight w:val="689"/>
        </w:trPr>
        <w:tc>
          <w:tcPr>
            <w:tcW w:w="525" w:type="dxa"/>
            <w:shd w:val="clear" w:color="auto" w:fill="CCCCCC"/>
            <w:vAlign w:val="center"/>
          </w:tcPr>
          <w:p w:rsidR="00507CD2" w:rsidRPr="00D855E0" w:rsidRDefault="00507CD2" w:rsidP="00507CD2">
            <w:pPr>
              <w:jc w:val="center"/>
              <w:rPr>
                <w:rFonts w:ascii="Arial Narrow" w:hAnsi="Arial Narrow" w:cs="Arial"/>
                <w:b/>
                <w:sz w:val="20"/>
                <w:szCs w:val="20"/>
              </w:rPr>
            </w:pPr>
            <w:r w:rsidRPr="00D855E0">
              <w:rPr>
                <w:rFonts w:ascii="Arial Narrow" w:hAnsi="Arial Narrow" w:cs="Arial"/>
                <w:b/>
                <w:sz w:val="20"/>
                <w:szCs w:val="20"/>
              </w:rPr>
              <w:t>No.</w:t>
            </w:r>
          </w:p>
        </w:tc>
        <w:tc>
          <w:tcPr>
            <w:tcW w:w="3151" w:type="dxa"/>
            <w:shd w:val="clear" w:color="auto" w:fill="CCCCCC"/>
            <w:vAlign w:val="center"/>
          </w:tcPr>
          <w:p w:rsidR="00507CD2" w:rsidRPr="00D855E0" w:rsidRDefault="00507CD2" w:rsidP="00507CD2">
            <w:pPr>
              <w:jc w:val="center"/>
              <w:rPr>
                <w:rFonts w:ascii="Arial Narrow" w:hAnsi="Arial Narrow" w:cs="Arial"/>
                <w:b/>
                <w:sz w:val="20"/>
                <w:szCs w:val="20"/>
              </w:rPr>
            </w:pPr>
            <w:r w:rsidRPr="00D855E0">
              <w:rPr>
                <w:rFonts w:ascii="Arial Narrow" w:hAnsi="Arial Narrow" w:cs="Arial"/>
                <w:b/>
                <w:sz w:val="20"/>
                <w:szCs w:val="20"/>
              </w:rPr>
              <w:t>OBSERVACIÓN</w:t>
            </w:r>
          </w:p>
        </w:tc>
        <w:tc>
          <w:tcPr>
            <w:tcW w:w="3151" w:type="dxa"/>
            <w:shd w:val="clear" w:color="auto" w:fill="CCCCCC"/>
          </w:tcPr>
          <w:p w:rsidR="00507CD2" w:rsidRPr="00D855E0" w:rsidRDefault="00507CD2" w:rsidP="00507CD2">
            <w:pPr>
              <w:jc w:val="center"/>
              <w:rPr>
                <w:rFonts w:ascii="Arial Narrow" w:hAnsi="Arial Narrow" w:cs="Arial"/>
                <w:b/>
                <w:sz w:val="20"/>
                <w:szCs w:val="20"/>
              </w:rPr>
            </w:pPr>
          </w:p>
          <w:p w:rsidR="00507CD2" w:rsidRPr="00D855E0" w:rsidRDefault="00507CD2" w:rsidP="00507CD2">
            <w:pPr>
              <w:jc w:val="center"/>
              <w:rPr>
                <w:rFonts w:ascii="Arial Narrow" w:hAnsi="Arial Narrow" w:cs="Arial"/>
                <w:b/>
                <w:sz w:val="20"/>
                <w:szCs w:val="20"/>
              </w:rPr>
            </w:pPr>
            <w:r w:rsidRPr="00D855E0">
              <w:rPr>
                <w:rFonts w:ascii="Arial Narrow" w:hAnsi="Arial Narrow" w:cs="Arial"/>
                <w:b/>
                <w:sz w:val="20"/>
                <w:szCs w:val="20"/>
              </w:rPr>
              <w:t>JUSTIFICACIÓN</w:t>
            </w:r>
          </w:p>
          <w:p w:rsidR="00507CD2" w:rsidRPr="00D855E0" w:rsidRDefault="00507CD2" w:rsidP="00507CD2">
            <w:pPr>
              <w:rPr>
                <w:rFonts w:ascii="Arial Narrow" w:hAnsi="Arial Narrow" w:cs="Arial"/>
                <w:b/>
                <w:sz w:val="20"/>
                <w:szCs w:val="20"/>
              </w:rPr>
            </w:pPr>
          </w:p>
        </w:tc>
        <w:tc>
          <w:tcPr>
            <w:tcW w:w="3327" w:type="dxa"/>
            <w:shd w:val="clear" w:color="auto" w:fill="CCCCCC"/>
            <w:vAlign w:val="center"/>
          </w:tcPr>
          <w:p w:rsidR="00507CD2" w:rsidRPr="00D855E0" w:rsidRDefault="00507CD2" w:rsidP="00507CD2">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507CD2" w:rsidRPr="00D855E0" w:rsidTr="00507CD2">
        <w:trPr>
          <w:trHeight w:val="219"/>
        </w:trPr>
        <w:tc>
          <w:tcPr>
            <w:tcW w:w="525" w:type="dxa"/>
            <w:vAlign w:val="center"/>
          </w:tcPr>
          <w:p w:rsidR="00507CD2" w:rsidRPr="00D855E0" w:rsidRDefault="00507CD2" w:rsidP="00507CD2">
            <w:pPr>
              <w:spacing w:line="240" w:lineRule="exact"/>
              <w:jc w:val="center"/>
              <w:rPr>
                <w:rFonts w:ascii="Arial Narrow" w:hAnsi="Arial Narrow" w:cs="Arial"/>
                <w:sz w:val="20"/>
                <w:szCs w:val="20"/>
              </w:rPr>
            </w:pPr>
            <w:r w:rsidRPr="00D855E0">
              <w:rPr>
                <w:rFonts w:ascii="Arial Narrow" w:hAnsi="Arial Narrow" w:cs="Arial"/>
                <w:sz w:val="20"/>
                <w:szCs w:val="20"/>
              </w:rPr>
              <w:t>5</w:t>
            </w:r>
          </w:p>
        </w:tc>
        <w:tc>
          <w:tcPr>
            <w:tcW w:w="3151" w:type="dxa"/>
          </w:tcPr>
          <w:p w:rsidR="00507CD2" w:rsidRPr="00D855E0" w:rsidRDefault="00507CD2" w:rsidP="00507CD2">
            <w:pPr>
              <w:jc w:val="both"/>
              <w:rPr>
                <w:rFonts w:ascii="Arial Narrow" w:hAnsi="Arial Narrow" w:cs="Arial"/>
              </w:rPr>
            </w:pPr>
            <w:r w:rsidRPr="00D855E0">
              <w:rPr>
                <w:rFonts w:ascii="Arial Narrow" w:hAnsi="Arial Narrow" w:cs="Arial"/>
              </w:rPr>
              <w:t xml:space="preserve">En relación con la revisión de la partida 3301 denominada “asesoría y capacitación”, el sujeto fiscalizado no exhibió a los auditores del ISAF, los informes mensuales de los prestadores de servicios, los cuales debían entregar conforme a la clausula decima segunda y séptima de los contratos de prestación de servicios profesionales, mismos que se integran a continuación. </w:t>
            </w:r>
          </w:p>
          <w:p w:rsidR="00507CD2" w:rsidRPr="00D855E0" w:rsidRDefault="00507CD2" w:rsidP="00507CD2">
            <w:pPr>
              <w:jc w:val="both"/>
              <w:rPr>
                <w:rFonts w:ascii="Arial Narrow" w:hAnsi="Arial Narrow" w:cs="Arial"/>
                <w:sz w:val="20"/>
                <w:szCs w:val="20"/>
              </w:rPr>
            </w:pPr>
          </w:p>
        </w:tc>
        <w:tc>
          <w:tcPr>
            <w:tcW w:w="3151" w:type="dxa"/>
          </w:tcPr>
          <w:p w:rsidR="00507CD2" w:rsidRPr="00443483" w:rsidRDefault="006D4653" w:rsidP="002C3D8A">
            <w:pPr>
              <w:jc w:val="both"/>
              <w:rPr>
                <w:rFonts w:ascii="Arial Narrow" w:hAnsi="Arial Narrow" w:cs="Arial"/>
              </w:rPr>
            </w:pPr>
            <w:r w:rsidRPr="00443483">
              <w:rPr>
                <w:rFonts w:ascii="Arial Narrow" w:hAnsi="Arial Narrow" w:cs="Arial"/>
              </w:rPr>
              <w:t xml:space="preserve">Al momento de la revisión  no </w:t>
            </w:r>
            <w:r w:rsidR="00C46B38" w:rsidRPr="00443483">
              <w:rPr>
                <w:rFonts w:ascii="Arial Narrow" w:hAnsi="Arial Narrow" w:cs="Arial"/>
              </w:rPr>
              <w:t xml:space="preserve"> se </w:t>
            </w:r>
            <w:r w:rsidRPr="00443483">
              <w:rPr>
                <w:rFonts w:ascii="Arial Narrow" w:hAnsi="Arial Narrow" w:cs="Arial"/>
              </w:rPr>
              <w:t xml:space="preserve">presento el informe  de JOSE DE JESUS LOPEZ DORANTES, debido a que dicha persona </w:t>
            </w:r>
            <w:r w:rsidR="002C3D8A">
              <w:rPr>
                <w:rFonts w:ascii="Arial Narrow" w:hAnsi="Arial Narrow" w:cs="Arial"/>
              </w:rPr>
              <w:t xml:space="preserve">firmo el contrato y </w:t>
            </w:r>
            <w:r w:rsidRPr="00443483">
              <w:rPr>
                <w:rFonts w:ascii="Arial Narrow" w:hAnsi="Arial Narrow" w:cs="Arial"/>
              </w:rPr>
              <w:t>fue enviado por el IMJUVE, para dar una serie de conferencias y el ISJ pago sus servicios con el recurso federal</w:t>
            </w:r>
            <w:r w:rsidR="00C46B38" w:rsidRPr="00443483">
              <w:rPr>
                <w:rFonts w:ascii="Arial Narrow" w:hAnsi="Arial Narrow" w:cs="Arial"/>
              </w:rPr>
              <w:t xml:space="preserve"> que el IMJUVE asigno; dentro del convenio de colaboración </w:t>
            </w:r>
            <w:r w:rsidRPr="00443483">
              <w:rPr>
                <w:rFonts w:ascii="Arial Narrow" w:hAnsi="Arial Narrow" w:cs="Arial"/>
              </w:rPr>
              <w:t>para el Programa de Recuperación de Espacios Públicos</w:t>
            </w:r>
            <w:r w:rsidR="002C3D8A">
              <w:rPr>
                <w:rFonts w:ascii="Arial Narrow" w:hAnsi="Arial Narrow" w:cs="Arial"/>
              </w:rPr>
              <w:t>, por lo que se presenta un informe con evidencias de las conferencias realizadas por dicha persona</w:t>
            </w:r>
            <w:r w:rsidRPr="00443483">
              <w:rPr>
                <w:rFonts w:ascii="Arial Narrow" w:hAnsi="Arial Narrow" w:cs="Arial"/>
              </w:rPr>
              <w:t xml:space="preserve">. En el caso de KEOPS ZIDRIK OCHOA no se contaba con </w:t>
            </w:r>
            <w:r w:rsidR="00357069" w:rsidRPr="00443483">
              <w:rPr>
                <w:rFonts w:ascii="Arial Narrow" w:hAnsi="Arial Narrow" w:cs="Arial"/>
              </w:rPr>
              <w:t>él</w:t>
            </w:r>
            <w:r w:rsidRPr="00443483">
              <w:rPr>
                <w:rFonts w:ascii="Arial Narrow" w:hAnsi="Arial Narrow" w:cs="Arial"/>
              </w:rPr>
              <w:t xml:space="preserve"> al momento de la revisión. </w:t>
            </w:r>
          </w:p>
        </w:tc>
        <w:tc>
          <w:tcPr>
            <w:tcW w:w="3327" w:type="dxa"/>
          </w:tcPr>
          <w:p w:rsidR="00507CD2" w:rsidRPr="00443483" w:rsidRDefault="006D4653" w:rsidP="00507CD2">
            <w:pPr>
              <w:jc w:val="both"/>
              <w:rPr>
                <w:rFonts w:ascii="Arial Narrow" w:hAnsi="Arial Narrow" w:cs="Arial"/>
              </w:rPr>
            </w:pPr>
            <w:r w:rsidRPr="00443483">
              <w:rPr>
                <w:rFonts w:ascii="Arial Narrow" w:hAnsi="Arial Narrow" w:cs="Arial"/>
              </w:rPr>
              <w:t>Se han tomado las medidas para que antes de entregar un pago por estos servicios profesionales, sea requerido el informe correspondiente al mes a pagar, para evitar este tipo de observaciones.</w:t>
            </w:r>
          </w:p>
          <w:p w:rsidR="006D4653" w:rsidRPr="00443483" w:rsidRDefault="006D4653" w:rsidP="00507CD2">
            <w:pPr>
              <w:jc w:val="both"/>
              <w:rPr>
                <w:rFonts w:ascii="Arial Narrow" w:hAnsi="Arial Narrow" w:cs="Arial"/>
              </w:rPr>
            </w:pPr>
            <w:r w:rsidRPr="00443483">
              <w:rPr>
                <w:rFonts w:ascii="Arial Narrow" w:hAnsi="Arial Narrow" w:cs="Arial"/>
              </w:rPr>
              <w:t xml:space="preserve">Según </w:t>
            </w:r>
            <w:r w:rsidRPr="00443483">
              <w:rPr>
                <w:rFonts w:ascii="Arial Narrow" w:hAnsi="Arial Narrow" w:cs="Arial"/>
                <w:b/>
              </w:rPr>
              <w:t>anexo # 5</w:t>
            </w:r>
            <w:r w:rsidRPr="00443483">
              <w:rPr>
                <w:rFonts w:ascii="Arial Narrow" w:hAnsi="Arial Narrow" w:cs="Arial"/>
              </w:rPr>
              <w:t>, se muestra copia</w:t>
            </w:r>
            <w:r w:rsidR="00357069" w:rsidRPr="00443483">
              <w:rPr>
                <w:rFonts w:ascii="Arial Narrow" w:hAnsi="Arial Narrow" w:cs="Arial"/>
              </w:rPr>
              <w:t xml:space="preserve"> del convenio de colaboración con el IMJUVE, donde se establece la asignación de $ 200,000 para el pago al conferencista antes mencionado</w:t>
            </w:r>
            <w:r w:rsidR="002C3D8A">
              <w:rPr>
                <w:rFonts w:ascii="Arial Narrow" w:hAnsi="Arial Narrow" w:cs="Arial"/>
              </w:rPr>
              <w:t>, así como un informe donde se evidencia la realización de dichas conferencias</w:t>
            </w:r>
            <w:r w:rsidR="00357069" w:rsidRPr="00443483">
              <w:rPr>
                <w:rFonts w:ascii="Arial Narrow" w:hAnsi="Arial Narrow" w:cs="Arial"/>
              </w:rPr>
              <w:t xml:space="preserve">; así mismo copia </w:t>
            </w:r>
            <w:r w:rsidRPr="00443483">
              <w:rPr>
                <w:rFonts w:ascii="Arial Narrow" w:hAnsi="Arial Narrow" w:cs="Arial"/>
              </w:rPr>
              <w:t xml:space="preserve"> de los informes mensuales presentados a partir del mes de Mayo</w:t>
            </w:r>
            <w:r w:rsidR="00357069" w:rsidRPr="00443483">
              <w:rPr>
                <w:rFonts w:ascii="Arial Narrow" w:hAnsi="Arial Narrow" w:cs="Arial"/>
              </w:rPr>
              <w:t xml:space="preserve"> del prestador de servicios KEOPS OCHOA ZIDRICK</w:t>
            </w:r>
            <w:r w:rsidRPr="00443483">
              <w:rPr>
                <w:rFonts w:ascii="Arial Narrow" w:hAnsi="Arial Narrow" w:cs="Arial"/>
              </w:rPr>
              <w:t>.</w:t>
            </w:r>
            <w:r w:rsidR="00357069" w:rsidRPr="00443483">
              <w:rPr>
                <w:rFonts w:ascii="Arial Narrow" w:hAnsi="Arial Narrow" w:cs="Arial"/>
              </w:rPr>
              <w:t xml:space="preserve"> </w:t>
            </w:r>
          </w:p>
        </w:tc>
      </w:tr>
    </w:tbl>
    <w:p w:rsidR="00F40379" w:rsidRPr="00D855E0" w:rsidRDefault="00F40379" w:rsidP="00F40379">
      <w:pPr>
        <w:jc w:val="both"/>
        <w:rPr>
          <w:rFonts w:ascii="Arial Narrow" w:hAnsi="Arial Narrow" w:cs="Arial"/>
          <w:b/>
        </w:rPr>
      </w:pPr>
    </w:p>
    <w:p w:rsidR="00F40379" w:rsidRPr="00D855E0" w:rsidRDefault="00F40379" w:rsidP="00F40379">
      <w:pPr>
        <w:jc w:val="both"/>
        <w:rPr>
          <w:rFonts w:ascii="Arial Narrow" w:hAnsi="Arial Narrow" w:cs="Arial"/>
          <w:b/>
        </w:rPr>
      </w:pPr>
    </w:p>
    <w:p w:rsidR="00DF3E7F" w:rsidRPr="00D855E0" w:rsidRDefault="00DF3E7F" w:rsidP="00F52135">
      <w:pPr>
        <w:jc w:val="both"/>
        <w:rPr>
          <w:rFonts w:ascii="Arial Narrow" w:hAnsi="Arial Narrow" w:cs="Arial"/>
          <w:b/>
        </w:rPr>
      </w:pPr>
    </w:p>
    <w:p w:rsidR="00DF3E7F" w:rsidRPr="00D855E0" w:rsidRDefault="00DF3E7F" w:rsidP="00DF3E7F">
      <w:pPr>
        <w:jc w:val="both"/>
        <w:rPr>
          <w:rFonts w:ascii="Arial Narrow" w:hAnsi="Arial Narrow" w:cs="Arial"/>
          <w:b/>
        </w:rPr>
      </w:pPr>
    </w:p>
    <w:p w:rsidR="00DF3E7F" w:rsidRPr="00D855E0" w:rsidRDefault="00DF3E7F" w:rsidP="00DF3E7F">
      <w:pPr>
        <w:jc w:val="both"/>
        <w:rPr>
          <w:rFonts w:ascii="Arial Narrow" w:hAnsi="Arial Narrow" w:cs="Arial"/>
          <w:b/>
        </w:rPr>
      </w:pPr>
    </w:p>
    <w:p w:rsidR="00DF3E7F" w:rsidRDefault="00DF3E7F" w:rsidP="00DF3E7F">
      <w:pPr>
        <w:jc w:val="both"/>
        <w:rPr>
          <w:rFonts w:ascii="Arial Narrow" w:hAnsi="Arial Narrow" w:cs="Arial"/>
          <w:b/>
        </w:rPr>
      </w:pPr>
    </w:p>
    <w:p w:rsidR="00292946" w:rsidRDefault="00292946" w:rsidP="00DF3E7F">
      <w:pPr>
        <w:jc w:val="both"/>
        <w:rPr>
          <w:rFonts w:ascii="Arial Narrow" w:hAnsi="Arial Narrow" w:cs="Arial"/>
          <w:b/>
        </w:rPr>
      </w:pPr>
    </w:p>
    <w:p w:rsidR="00292946" w:rsidRPr="00D855E0" w:rsidRDefault="00292946" w:rsidP="00DF3E7F">
      <w:pPr>
        <w:jc w:val="both"/>
        <w:rPr>
          <w:rFonts w:ascii="Arial Narrow" w:hAnsi="Arial Narrow" w:cs="Arial"/>
          <w:b/>
        </w:rPr>
      </w:pPr>
    </w:p>
    <w:p w:rsidR="00DF3E7F" w:rsidRPr="00D855E0" w:rsidRDefault="00507CD2" w:rsidP="00507CD2">
      <w:pPr>
        <w:pStyle w:val="Prrafodelista"/>
        <w:numPr>
          <w:ilvl w:val="0"/>
          <w:numId w:val="2"/>
        </w:numPr>
        <w:jc w:val="both"/>
        <w:rPr>
          <w:rFonts w:ascii="Arial Narrow" w:hAnsi="Arial Narrow" w:cs="Arial"/>
          <w:b/>
        </w:rPr>
      </w:pPr>
      <w:r w:rsidRPr="00D855E0">
        <w:rPr>
          <w:rFonts w:ascii="Arial Narrow" w:hAnsi="Arial Narrow" w:cs="Arial"/>
          <w:b/>
        </w:rPr>
        <w:t>Derivado de la revisión realizada a la partida 4101 “Apoyo Presupuestario a Organismos e Instituciones”, se determino que no se dio cumplimiento con lo establecido en el reglamento de las casas de estudiantes emitido por el sujeto fiscalizado, así como con el convenio de colaboración celebrado con la “Casa del Estudiante Serrano A.C.”, los cuales señalan que los recursos otorgados por el Instituto Sonorense de la Juventud, deberán ser utilizados para cubrir gastos por concepto de agua, luz, gas, renta de inmueble, alimentación y mantenimiento mínimo necesario; sin embargo, se comprobó que los recursos transferidos a la referida casa de estudiantes durante el periodo de enero a julio de 2010 fueron aplicados en servicios de cocina(cocinera) por $ 43,550, según consta en recibos de nomina que fueron entregados por la misma, los cuales avalan los pagos realizados por dicho concepto.</w:t>
      </w:r>
    </w:p>
    <w:p w:rsidR="00DF3E7F" w:rsidRPr="00D855E0" w:rsidRDefault="00DF3E7F" w:rsidP="00F52135">
      <w:pPr>
        <w:jc w:val="both"/>
        <w:rPr>
          <w:rFonts w:ascii="Arial Narrow" w:hAnsi="Arial Narrow" w:cs="Arial"/>
          <w:b/>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3313"/>
        <w:gridCol w:w="2875"/>
        <w:gridCol w:w="3035"/>
      </w:tblGrid>
      <w:tr w:rsidR="00DF3E7F" w:rsidRPr="00D855E0" w:rsidTr="00665D8B">
        <w:trPr>
          <w:trHeight w:val="705"/>
        </w:trPr>
        <w:tc>
          <w:tcPr>
            <w:tcW w:w="479"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No.</w:t>
            </w:r>
          </w:p>
        </w:tc>
        <w:tc>
          <w:tcPr>
            <w:tcW w:w="3313"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OBSERVACIÓN</w:t>
            </w:r>
          </w:p>
        </w:tc>
        <w:tc>
          <w:tcPr>
            <w:tcW w:w="2875" w:type="dxa"/>
            <w:shd w:val="clear" w:color="auto" w:fill="CCCCCC"/>
          </w:tcPr>
          <w:p w:rsidR="00DF3E7F" w:rsidRPr="00D855E0" w:rsidRDefault="00DF3E7F" w:rsidP="006E56F1">
            <w:pPr>
              <w:jc w:val="center"/>
              <w:rPr>
                <w:rFonts w:ascii="Arial Narrow" w:hAnsi="Arial Narrow" w:cs="Arial"/>
                <w:b/>
                <w:sz w:val="20"/>
                <w:szCs w:val="20"/>
              </w:rPr>
            </w:pPr>
          </w:p>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JUSTIFICACIÓN</w:t>
            </w:r>
          </w:p>
          <w:p w:rsidR="00DF3E7F" w:rsidRPr="00D855E0" w:rsidRDefault="00DF3E7F" w:rsidP="006E56F1">
            <w:pPr>
              <w:rPr>
                <w:rFonts w:ascii="Arial Narrow" w:hAnsi="Arial Narrow" w:cs="Arial"/>
                <w:b/>
                <w:sz w:val="20"/>
                <w:szCs w:val="20"/>
              </w:rPr>
            </w:pPr>
          </w:p>
        </w:tc>
        <w:tc>
          <w:tcPr>
            <w:tcW w:w="3035" w:type="dxa"/>
            <w:shd w:val="clear" w:color="auto" w:fill="CCCCCC"/>
            <w:vAlign w:val="center"/>
          </w:tcPr>
          <w:p w:rsidR="00DF3E7F" w:rsidRPr="00D855E0" w:rsidRDefault="00DF3E7F" w:rsidP="006E56F1">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DF3E7F" w:rsidRPr="00D855E0" w:rsidTr="00665D8B">
        <w:trPr>
          <w:trHeight w:val="224"/>
        </w:trPr>
        <w:tc>
          <w:tcPr>
            <w:tcW w:w="479" w:type="dxa"/>
            <w:vAlign w:val="center"/>
          </w:tcPr>
          <w:p w:rsidR="00DF3E7F" w:rsidRPr="00D855E0" w:rsidRDefault="00660EE9" w:rsidP="006E56F1">
            <w:pPr>
              <w:spacing w:line="240" w:lineRule="exact"/>
              <w:jc w:val="center"/>
              <w:rPr>
                <w:rFonts w:ascii="Arial Narrow" w:hAnsi="Arial Narrow" w:cs="Arial"/>
                <w:sz w:val="20"/>
                <w:szCs w:val="20"/>
              </w:rPr>
            </w:pPr>
            <w:r w:rsidRPr="00D855E0">
              <w:rPr>
                <w:rFonts w:ascii="Arial Narrow" w:hAnsi="Arial Narrow" w:cs="Arial"/>
                <w:sz w:val="20"/>
                <w:szCs w:val="20"/>
              </w:rPr>
              <w:t>6</w:t>
            </w:r>
          </w:p>
        </w:tc>
        <w:tc>
          <w:tcPr>
            <w:tcW w:w="3313" w:type="dxa"/>
          </w:tcPr>
          <w:p w:rsidR="00507CD2" w:rsidRPr="00D855E0" w:rsidRDefault="00507CD2" w:rsidP="00507CD2">
            <w:pPr>
              <w:jc w:val="both"/>
              <w:rPr>
                <w:rFonts w:ascii="Arial Narrow" w:hAnsi="Arial Narrow" w:cs="Arial"/>
              </w:rPr>
            </w:pPr>
            <w:r w:rsidRPr="00D855E0">
              <w:rPr>
                <w:rFonts w:ascii="Arial Narrow" w:hAnsi="Arial Narrow" w:cs="Arial"/>
              </w:rPr>
              <w:t>Derivado de la revisión realizada a la partida 4101 “Apoyo Presupuestario a Organismos e Instituciones”, se determino que no se dio cumplimiento con lo establecido en el reglamento de las casas de estudiantes emitido por el sujeto fiscalizado, así como con el convenio de colaboración celebrado con la “Casa del Estudiante Serrano A.C.”, los cuales señalan que los recursos otorgados por el Instituto Sonorense de la Juventud, deberán ser utilizados para cubrir gastos por concepto de agua, luz, gas, renta de inmueble, alimentación y mantenimiento mínimo necesario; sin embargo, se comprobó que los recursos transferidos a la referida casa de estudiantes durante el periodo de enero a julio de 2010 fueron aplicados en servicios de cocina(cocinera) por $ 43,550, según consta en recibos de nomina que fueron entregados por la misma, los cuales avalan los pagos realizados por dicho concepto.</w:t>
            </w:r>
          </w:p>
          <w:p w:rsidR="00DF3E7F" w:rsidRPr="00D855E0" w:rsidRDefault="00DF3E7F" w:rsidP="000567F2">
            <w:pPr>
              <w:jc w:val="both"/>
              <w:rPr>
                <w:rFonts w:ascii="Arial Narrow" w:hAnsi="Arial Narrow" w:cs="Arial"/>
                <w:sz w:val="20"/>
                <w:szCs w:val="20"/>
              </w:rPr>
            </w:pPr>
          </w:p>
        </w:tc>
        <w:tc>
          <w:tcPr>
            <w:tcW w:w="2875" w:type="dxa"/>
          </w:tcPr>
          <w:p w:rsidR="00805AB1" w:rsidRPr="00443483" w:rsidRDefault="00805AB1" w:rsidP="006E56F1">
            <w:pPr>
              <w:jc w:val="both"/>
              <w:rPr>
                <w:rFonts w:ascii="Arial Narrow" w:hAnsi="Arial Narrow" w:cs="Arial"/>
              </w:rPr>
            </w:pPr>
            <w:r w:rsidRPr="00443483">
              <w:rPr>
                <w:rFonts w:ascii="Arial Narrow" w:hAnsi="Arial Narrow" w:cs="Arial"/>
              </w:rPr>
              <w:lastRenderedPageBreak/>
              <w:t>Efectivamente, al momento de la revisión se presentaron copias de la evidencia de los recursos públicos que se entregan a las Casas de Estudiantes, y si bien viene cierto en los convenios de colaboración no se estipula que es para pagar la nomina de los empleados que se tienen en esta casa de estudiantes, pero se sobreentiende que va dentro de articulo 2 en su clausula III del reglamento general de las casas de estudiantes, ya que se trata de la persona que prepara la alimentación de los moradores; de igual forma se apega al convenio de colaboración entre el ISJ y la casa de estudiantes en su clausula segunda inciso b.</w:t>
            </w:r>
          </w:p>
          <w:p w:rsidR="00805AB1" w:rsidRPr="00443483" w:rsidRDefault="00805AB1" w:rsidP="006E56F1">
            <w:pPr>
              <w:jc w:val="both"/>
              <w:rPr>
                <w:rFonts w:ascii="Arial Narrow" w:hAnsi="Arial Narrow" w:cs="Arial"/>
              </w:rPr>
            </w:pPr>
          </w:p>
          <w:p w:rsidR="00BE5EE5" w:rsidRPr="00443483" w:rsidRDefault="00081AA0" w:rsidP="00805AB1">
            <w:pPr>
              <w:jc w:val="both"/>
              <w:rPr>
                <w:rFonts w:ascii="Arial Narrow" w:hAnsi="Arial Narrow" w:cs="Arial"/>
              </w:rPr>
            </w:pPr>
            <w:r w:rsidRPr="00443483">
              <w:rPr>
                <w:rFonts w:ascii="Arial Narrow" w:hAnsi="Arial Narrow" w:cs="Arial"/>
              </w:rPr>
              <w:t xml:space="preserve">Además de que le solicitamos a la directora de la Casa de Estudiantes Serrano, la justificación del porque se ejerce el recurso en esos conceptos, dándonos una </w:t>
            </w:r>
            <w:r w:rsidRPr="00443483">
              <w:rPr>
                <w:rFonts w:ascii="Arial Narrow" w:hAnsi="Arial Narrow" w:cs="Arial"/>
              </w:rPr>
              <w:lastRenderedPageBreak/>
              <w:t>explicación, mediante oficio el cual se anexa.</w:t>
            </w:r>
          </w:p>
        </w:tc>
        <w:tc>
          <w:tcPr>
            <w:tcW w:w="3035" w:type="dxa"/>
          </w:tcPr>
          <w:p w:rsidR="00DF3E7F" w:rsidRPr="00443483" w:rsidRDefault="00081AA0" w:rsidP="0065624F">
            <w:pPr>
              <w:jc w:val="both"/>
              <w:rPr>
                <w:rFonts w:ascii="Arial Narrow" w:hAnsi="Arial Narrow" w:cs="Arial"/>
              </w:rPr>
            </w:pPr>
            <w:r w:rsidRPr="00443483">
              <w:rPr>
                <w:rFonts w:ascii="Arial Narrow" w:hAnsi="Arial Narrow" w:cs="Arial"/>
              </w:rPr>
              <w:lastRenderedPageBreak/>
              <w:t xml:space="preserve">Se han tomado las medidas para que en el ejercicio 2011, analicemos los conceptos en los que se ejercerán los recursos que </w:t>
            </w:r>
            <w:r w:rsidR="0065624F" w:rsidRPr="00443483">
              <w:rPr>
                <w:rFonts w:ascii="Arial Narrow" w:hAnsi="Arial Narrow" w:cs="Arial"/>
              </w:rPr>
              <w:t xml:space="preserve">se les entrega, debido a que los objetivos de los </w:t>
            </w:r>
            <w:r w:rsidRPr="00443483">
              <w:rPr>
                <w:rFonts w:ascii="Arial Narrow" w:hAnsi="Arial Narrow" w:cs="Arial"/>
              </w:rPr>
              <w:t xml:space="preserve"> convenios de colaboración </w:t>
            </w:r>
            <w:r w:rsidR="0065624F" w:rsidRPr="00443483">
              <w:rPr>
                <w:rFonts w:ascii="Arial Narrow" w:hAnsi="Arial Narrow" w:cs="Arial"/>
              </w:rPr>
              <w:t xml:space="preserve">es que sirvan </w:t>
            </w:r>
            <w:r w:rsidRPr="00443483">
              <w:rPr>
                <w:rFonts w:ascii="Arial Narrow" w:hAnsi="Arial Narrow" w:cs="Arial"/>
              </w:rPr>
              <w:t xml:space="preserve"> para que cada una de las casas </w:t>
            </w:r>
            <w:r w:rsidR="0065624F" w:rsidRPr="00443483">
              <w:rPr>
                <w:rFonts w:ascii="Arial Narrow" w:hAnsi="Arial Narrow" w:cs="Arial"/>
              </w:rPr>
              <w:t>en su particularidad puedan tener una mejor operación, mas no son los objetivos de afectar los objetivos que tienen cada una de las casas.</w:t>
            </w:r>
          </w:p>
          <w:p w:rsidR="0065624F" w:rsidRPr="00443483" w:rsidRDefault="0065624F" w:rsidP="0065624F">
            <w:pPr>
              <w:jc w:val="both"/>
              <w:rPr>
                <w:rFonts w:ascii="Arial Narrow" w:hAnsi="Arial Narrow" w:cs="Arial"/>
              </w:rPr>
            </w:pPr>
            <w:r w:rsidRPr="00443483">
              <w:rPr>
                <w:rFonts w:ascii="Arial Narrow" w:hAnsi="Arial Narrow" w:cs="Arial"/>
              </w:rPr>
              <w:t>Por lo que no podemos limitarlo a que no se pague la nomina de las personas que están a cargo de los estudiantes los cuales son menores de edad y necesitan de personas adultas para su cuidado y atención.</w:t>
            </w:r>
          </w:p>
          <w:p w:rsidR="0065624F" w:rsidRPr="00443483" w:rsidRDefault="0065624F" w:rsidP="0065624F">
            <w:pPr>
              <w:jc w:val="both"/>
              <w:rPr>
                <w:rFonts w:ascii="Arial Narrow" w:hAnsi="Arial Narrow" w:cs="Arial"/>
              </w:rPr>
            </w:pPr>
          </w:p>
          <w:p w:rsidR="0065624F" w:rsidRPr="00443483" w:rsidRDefault="0065624F" w:rsidP="0065624F">
            <w:pPr>
              <w:jc w:val="both"/>
              <w:rPr>
                <w:rFonts w:ascii="Arial Narrow" w:hAnsi="Arial Narrow" w:cs="Arial"/>
                <w:b/>
              </w:rPr>
            </w:pPr>
            <w:r w:rsidRPr="00443483">
              <w:rPr>
                <w:rFonts w:ascii="Arial Narrow" w:hAnsi="Arial Narrow" w:cs="Arial"/>
              </w:rPr>
              <w:t xml:space="preserve">Según </w:t>
            </w:r>
            <w:r w:rsidRPr="00443483">
              <w:rPr>
                <w:rFonts w:ascii="Arial Narrow" w:hAnsi="Arial Narrow" w:cs="Arial"/>
                <w:b/>
              </w:rPr>
              <w:t xml:space="preserve">anexo # 6, </w:t>
            </w:r>
            <w:r w:rsidRPr="00443483">
              <w:rPr>
                <w:rFonts w:ascii="Arial Narrow" w:hAnsi="Arial Narrow" w:cs="Arial"/>
              </w:rPr>
              <w:t>se muestran copia del reglamento general de las casas de estudiantes, así como copia del convenio de colaboración,  y copia del oficio enviado por la directora de la Casa de Estudiantes</w:t>
            </w:r>
            <w:r w:rsidRPr="00443483">
              <w:rPr>
                <w:rFonts w:ascii="Arial Narrow" w:hAnsi="Arial Narrow" w:cs="Arial"/>
                <w:b/>
              </w:rPr>
              <w:t xml:space="preserve"> </w:t>
            </w:r>
            <w:r w:rsidRPr="00443483">
              <w:rPr>
                <w:rFonts w:ascii="Arial Narrow" w:hAnsi="Arial Narrow" w:cs="Arial"/>
              </w:rPr>
              <w:t xml:space="preserve">Serrano A.C. a esta institución donde </w:t>
            </w:r>
            <w:r w:rsidRPr="00443483">
              <w:rPr>
                <w:rFonts w:ascii="Arial Narrow" w:hAnsi="Arial Narrow" w:cs="Arial"/>
              </w:rPr>
              <w:lastRenderedPageBreak/>
              <w:t>explica los motivos por los que se paga en estos conceptos.</w:t>
            </w:r>
            <w:r w:rsidRPr="00443483">
              <w:rPr>
                <w:rFonts w:ascii="Arial Narrow" w:hAnsi="Arial Narrow" w:cs="Arial"/>
                <w:b/>
              </w:rPr>
              <w:t xml:space="preserve"> </w:t>
            </w:r>
          </w:p>
        </w:tc>
      </w:tr>
    </w:tbl>
    <w:p w:rsidR="00F52135" w:rsidRDefault="0065624F">
      <w:pPr>
        <w:rPr>
          <w:rFonts w:ascii="Arial Narrow" w:hAnsi="Arial Narrow"/>
        </w:rPr>
      </w:pPr>
      <w:r>
        <w:rPr>
          <w:rFonts w:ascii="Arial Narrow" w:hAnsi="Arial Narrow"/>
        </w:rPr>
        <w:lastRenderedPageBreak/>
        <w:t xml:space="preserve"> </w:t>
      </w:r>
    </w:p>
    <w:p w:rsidR="00DF3E7F" w:rsidRPr="00D855E0" w:rsidRDefault="00507CD2" w:rsidP="00507CD2">
      <w:pPr>
        <w:pStyle w:val="Prrafodelista"/>
        <w:numPr>
          <w:ilvl w:val="0"/>
          <w:numId w:val="2"/>
        </w:numPr>
        <w:jc w:val="both"/>
        <w:rPr>
          <w:rFonts w:ascii="Arial Narrow" w:hAnsi="Arial Narrow"/>
          <w:b/>
        </w:rPr>
      </w:pPr>
      <w:r w:rsidRPr="00D855E0">
        <w:rPr>
          <w:rFonts w:ascii="Arial Narrow" w:hAnsi="Arial Narrow" w:cs="Arial"/>
          <w:b/>
        </w:rPr>
        <w:t xml:space="preserve">No fue exhibida la documentación comprobatoria que ampara el gasto ejercido por la cantidad $ 30,000, correspondiente a diversas </w:t>
      </w:r>
      <w:r w:rsidR="002A35FD" w:rsidRPr="00D855E0">
        <w:rPr>
          <w:rFonts w:ascii="Arial Narrow" w:hAnsi="Arial Narrow" w:cs="Arial"/>
          <w:b/>
        </w:rPr>
        <w:t>pólizas</w:t>
      </w:r>
      <w:r w:rsidRPr="00D855E0">
        <w:rPr>
          <w:rFonts w:ascii="Arial Narrow" w:hAnsi="Arial Narrow" w:cs="Arial"/>
          <w:b/>
        </w:rPr>
        <w:t xml:space="preserve"> que afectaron las siguientes partidas: 1) 3301 “</w:t>
      </w:r>
      <w:r w:rsidR="002A35FD" w:rsidRPr="00D855E0">
        <w:rPr>
          <w:rFonts w:ascii="Arial Narrow" w:hAnsi="Arial Narrow" w:cs="Arial"/>
          <w:b/>
        </w:rPr>
        <w:t>Asesoría</w:t>
      </w:r>
      <w:r w:rsidRPr="00D855E0">
        <w:rPr>
          <w:rFonts w:ascii="Arial Narrow" w:hAnsi="Arial Narrow" w:cs="Arial"/>
          <w:b/>
        </w:rPr>
        <w:t xml:space="preserve"> y </w:t>
      </w:r>
      <w:r w:rsidR="002A35FD" w:rsidRPr="00D855E0">
        <w:rPr>
          <w:rFonts w:ascii="Arial Narrow" w:hAnsi="Arial Narrow" w:cs="Arial"/>
          <w:b/>
        </w:rPr>
        <w:t>Capacitación</w:t>
      </w:r>
      <w:r w:rsidRPr="00D855E0">
        <w:rPr>
          <w:rFonts w:ascii="Arial Narrow" w:hAnsi="Arial Narrow" w:cs="Arial"/>
          <w:b/>
        </w:rPr>
        <w:t>”</w:t>
      </w:r>
      <w:r w:rsidR="002A35FD" w:rsidRPr="00D855E0">
        <w:rPr>
          <w:rFonts w:ascii="Arial Narrow" w:hAnsi="Arial Narrow" w:cs="Arial"/>
          <w:b/>
        </w:rPr>
        <w:t xml:space="preserve"> por $ 25,000 y 2) 3907 “Ayudas Diversas” por $5,000, integrándose  como sigue:</w:t>
      </w:r>
    </w:p>
    <w:tbl>
      <w:tblPr>
        <w:tblpPr w:leftFromText="141" w:rightFromText="141" w:vertAnchor="text" w:horzAnchor="page" w:tblpX="6786" w:tblpY="339"/>
        <w:tblW w:w="4552" w:type="dxa"/>
        <w:tblCellMar>
          <w:left w:w="70" w:type="dxa"/>
          <w:right w:w="70" w:type="dxa"/>
        </w:tblCellMar>
        <w:tblLook w:val="04A0"/>
      </w:tblPr>
      <w:tblGrid>
        <w:gridCol w:w="1008"/>
        <w:gridCol w:w="992"/>
        <w:gridCol w:w="992"/>
        <w:gridCol w:w="851"/>
        <w:gridCol w:w="709"/>
      </w:tblGrid>
      <w:tr w:rsidR="000D1721" w:rsidRPr="00D855E0" w:rsidTr="000D1721">
        <w:trPr>
          <w:trHeight w:val="600"/>
        </w:trPr>
        <w:tc>
          <w:tcPr>
            <w:tcW w:w="10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 xml:space="preserve">Fecha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 xml:space="preserve">No. </w:t>
            </w:r>
            <w:r w:rsidR="002A2BB5" w:rsidRPr="00D855E0">
              <w:rPr>
                <w:rFonts w:ascii="Arial Narrow" w:hAnsi="Arial Narrow"/>
                <w:b/>
                <w:bCs/>
                <w:color w:val="000000"/>
                <w:sz w:val="16"/>
                <w:szCs w:val="16"/>
              </w:rPr>
              <w:t>Póliza</w:t>
            </w:r>
          </w:p>
        </w:tc>
        <w:tc>
          <w:tcPr>
            <w:tcW w:w="992" w:type="dxa"/>
            <w:tcBorders>
              <w:top w:val="single" w:sz="8" w:space="0" w:color="auto"/>
              <w:left w:val="nil"/>
              <w:bottom w:val="single" w:sz="4" w:space="0" w:color="auto"/>
              <w:right w:val="single" w:sz="4" w:space="0" w:color="auto"/>
            </w:tcBorders>
            <w:shd w:val="clear" w:color="auto" w:fill="auto"/>
            <w:vAlign w:val="bottom"/>
            <w:hideMark/>
          </w:tcPr>
          <w:p w:rsidR="000D1721" w:rsidRPr="00D855E0" w:rsidRDefault="000D1721" w:rsidP="000D1721">
            <w:pPr>
              <w:jc w:val="center"/>
              <w:rPr>
                <w:rFonts w:ascii="Arial Narrow" w:hAnsi="Arial Narrow"/>
                <w:b/>
                <w:bCs/>
                <w:color w:val="000000"/>
                <w:sz w:val="16"/>
                <w:szCs w:val="16"/>
              </w:rPr>
            </w:pPr>
            <w:r w:rsidRPr="00D855E0">
              <w:rPr>
                <w:rFonts w:ascii="Arial Narrow" w:hAnsi="Arial Narrow"/>
                <w:b/>
                <w:bCs/>
                <w:color w:val="000000"/>
                <w:sz w:val="16"/>
                <w:szCs w:val="16"/>
              </w:rPr>
              <w:t xml:space="preserve">Tipo de </w:t>
            </w:r>
            <w:r w:rsidR="002A2BB5" w:rsidRPr="00D855E0">
              <w:rPr>
                <w:rFonts w:ascii="Arial Narrow" w:hAnsi="Arial Narrow"/>
                <w:b/>
                <w:bCs/>
                <w:color w:val="000000"/>
                <w:sz w:val="16"/>
                <w:szCs w:val="16"/>
              </w:rPr>
              <w:t>Póliza</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Importe</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Partida</w:t>
            </w:r>
          </w:p>
        </w:tc>
      </w:tr>
      <w:tr w:rsidR="000D1721" w:rsidRPr="00D855E0" w:rsidTr="000D1721">
        <w:trPr>
          <w:trHeight w:val="315"/>
        </w:trPr>
        <w:tc>
          <w:tcPr>
            <w:tcW w:w="1008" w:type="dxa"/>
            <w:tcBorders>
              <w:top w:val="nil"/>
              <w:left w:val="single" w:sz="8" w:space="0" w:color="auto"/>
              <w:bottom w:val="single" w:sz="8" w:space="0" w:color="auto"/>
              <w:right w:val="single" w:sz="4" w:space="0" w:color="auto"/>
            </w:tcBorders>
            <w:shd w:val="clear" w:color="auto" w:fill="auto"/>
            <w:noWrap/>
            <w:vAlign w:val="bottom"/>
            <w:hideMark/>
          </w:tcPr>
          <w:p w:rsidR="000D1721" w:rsidRPr="00D855E0" w:rsidRDefault="000D1721" w:rsidP="000D1721">
            <w:pPr>
              <w:jc w:val="right"/>
              <w:rPr>
                <w:rFonts w:ascii="Arial Narrow" w:hAnsi="Arial Narrow"/>
                <w:color w:val="000000"/>
                <w:sz w:val="16"/>
                <w:szCs w:val="16"/>
              </w:rPr>
            </w:pPr>
            <w:r w:rsidRPr="00D855E0">
              <w:rPr>
                <w:rFonts w:ascii="Arial Narrow" w:hAnsi="Arial Narrow"/>
                <w:color w:val="000000"/>
                <w:sz w:val="16"/>
                <w:szCs w:val="16"/>
              </w:rPr>
              <w:t>21-may-10</w:t>
            </w:r>
          </w:p>
        </w:tc>
        <w:tc>
          <w:tcPr>
            <w:tcW w:w="992" w:type="dxa"/>
            <w:tcBorders>
              <w:top w:val="nil"/>
              <w:left w:val="nil"/>
              <w:bottom w:val="single" w:sz="8"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PE/18226</w:t>
            </w:r>
          </w:p>
        </w:tc>
        <w:tc>
          <w:tcPr>
            <w:tcW w:w="992" w:type="dxa"/>
            <w:tcBorders>
              <w:top w:val="nil"/>
              <w:left w:val="nil"/>
              <w:bottom w:val="single" w:sz="8"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Egreso</w:t>
            </w:r>
          </w:p>
        </w:tc>
        <w:tc>
          <w:tcPr>
            <w:tcW w:w="851" w:type="dxa"/>
            <w:tcBorders>
              <w:top w:val="nil"/>
              <w:left w:val="nil"/>
              <w:bottom w:val="single" w:sz="8"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 xml:space="preserve">          5,000.00 </w:t>
            </w:r>
          </w:p>
        </w:tc>
        <w:tc>
          <w:tcPr>
            <w:tcW w:w="709" w:type="dxa"/>
            <w:tcBorders>
              <w:top w:val="nil"/>
              <w:left w:val="nil"/>
              <w:bottom w:val="single" w:sz="8" w:space="0" w:color="auto"/>
              <w:right w:val="single" w:sz="8" w:space="0" w:color="auto"/>
            </w:tcBorders>
            <w:shd w:val="clear" w:color="auto" w:fill="auto"/>
            <w:noWrap/>
            <w:vAlign w:val="bottom"/>
            <w:hideMark/>
          </w:tcPr>
          <w:p w:rsidR="000D1721" w:rsidRPr="00D855E0" w:rsidRDefault="000D1721" w:rsidP="000D1721">
            <w:pPr>
              <w:jc w:val="right"/>
              <w:rPr>
                <w:rFonts w:ascii="Arial Narrow" w:hAnsi="Arial Narrow"/>
                <w:color w:val="000000"/>
                <w:sz w:val="16"/>
                <w:szCs w:val="16"/>
              </w:rPr>
            </w:pPr>
            <w:r w:rsidRPr="00D855E0">
              <w:rPr>
                <w:rFonts w:ascii="Arial Narrow" w:hAnsi="Arial Narrow"/>
                <w:color w:val="000000"/>
                <w:sz w:val="16"/>
                <w:szCs w:val="16"/>
              </w:rPr>
              <w:t>3907</w:t>
            </w:r>
          </w:p>
        </w:tc>
      </w:tr>
      <w:tr w:rsidR="000D1721" w:rsidRPr="00D855E0" w:rsidTr="000D1721">
        <w:trPr>
          <w:trHeight w:val="315"/>
        </w:trPr>
        <w:tc>
          <w:tcPr>
            <w:tcW w:w="1008" w:type="dxa"/>
            <w:tcBorders>
              <w:top w:val="nil"/>
              <w:left w:val="nil"/>
              <w:bottom w:val="nil"/>
              <w:right w:val="nil"/>
            </w:tcBorders>
            <w:shd w:val="clear" w:color="auto" w:fill="auto"/>
            <w:noWrap/>
            <w:vAlign w:val="bottom"/>
            <w:hideMark/>
          </w:tcPr>
          <w:p w:rsidR="000D1721" w:rsidRPr="00D855E0" w:rsidRDefault="000D1721" w:rsidP="000D1721">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0D1721" w:rsidRPr="00D855E0" w:rsidRDefault="000D1721" w:rsidP="000D1721">
            <w:pPr>
              <w:rPr>
                <w:rFonts w:ascii="Arial Narrow" w:hAnsi="Arial Narrow"/>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 xml:space="preserve"> $   5,000.</w:t>
            </w:r>
          </w:p>
        </w:tc>
        <w:tc>
          <w:tcPr>
            <w:tcW w:w="709" w:type="dxa"/>
            <w:tcBorders>
              <w:top w:val="nil"/>
              <w:left w:val="nil"/>
              <w:bottom w:val="nil"/>
              <w:right w:val="nil"/>
            </w:tcBorders>
            <w:shd w:val="clear" w:color="auto" w:fill="auto"/>
            <w:noWrap/>
            <w:vAlign w:val="bottom"/>
            <w:hideMark/>
          </w:tcPr>
          <w:p w:rsidR="000D1721" w:rsidRPr="00D855E0" w:rsidRDefault="000D1721" w:rsidP="000D1721">
            <w:pPr>
              <w:rPr>
                <w:rFonts w:ascii="Arial Narrow" w:hAnsi="Arial Narrow"/>
                <w:color w:val="000000"/>
                <w:sz w:val="16"/>
                <w:szCs w:val="16"/>
              </w:rPr>
            </w:pPr>
          </w:p>
        </w:tc>
      </w:tr>
    </w:tbl>
    <w:p w:rsidR="00DF3E7F" w:rsidRPr="00D855E0" w:rsidRDefault="00DF3E7F">
      <w:pPr>
        <w:rPr>
          <w:rFonts w:ascii="Arial Narrow" w:hAnsi="Arial Narrow"/>
        </w:rPr>
      </w:pPr>
    </w:p>
    <w:tbl>
      <w:tblPr>
        <w:tblpPr w:leftFromText="141" w:rightFromText="141" w:vertAnchor="text" w:horzAnchor="margin" w:tblpY="93"/>
        <w:tblOverlap w:val="never"/>
        <w:tblW w:w="4627" w:type="dxa"/>
        <w:tblCellMar>
          <w:left w:w="70" w:type="dxa"/>
          <w:right w:w="70" w:type="dxa"/>
        </w:tblCellMar>
        <w:tblLook w:val="04A0"/>
      </w:tblPr>
      <w:tblGrid>
        <w:gridCol w:w="1008"/>
        <w:gridCol w:w="992"/>
        <w:gridCol w:w="926"/>
        <w:gridCol w:w="992"/>
        <w:gridCol w:w="709"/>
      </w:tblGrid>
      <w:tr w:rsidR="000D1721" w:rsidRPr="00D855E0" w:rsidTr="000D1721">
        <w:trPr>
          <w:trHeight w:val="600"/>
        </w:trPr>
        <w:tc>
          <w:tcPr>
            <w:tcW w:w="10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 xml:space="preserve">Fecha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No. Póliza</w:t>
            </w:r>
          </w:p>
        </w:tc>
        <w:tc>
          <w:tcPr>
            <w:tcW w:w="926" w:type="dxa"/>
            <w:tcBorders>
              <w:top w:val="single" w:sz="8" w:space="0" w:color="auto"/>
              <w:left w:val="nil"/>
              <w:bottom w:val="single" w:sz="4" w:space="0" w:color="auto"/>
              <w:right w:val="single" w:sz="4" w:space="0" w:color="auto"/>
            </w:tcBorders>
            <w:shd w:val="clear" w:color="auto" w:fill="auto"/>
            <w:vAlign w:val="bottom"/>
            <w:hideMark/>
          </w:tcPr>
          <w:p w:rsidR="000D1721" w:rsidRPr="00D855E0" w:rsidRDefault="000D1721" w:rsidP="000D1721">
            <w:pPr>
              <w:jc w:val="center"/>
              <w:rPr>
                <w:rFonts w:ascii="Arial Narrow" w:hAnsi="Arial Narrow"/>
                <w:b/>
                <w:bCs/>
                <w:color w:val="000000"/>
                <w:sz w:val="16"/>
                <w:szCs w:val="16"/>
              </w:rPr>
            </w:pPr>
            <w:r w:rsidRPr="00D855E0">
              <w:rPr>
                <w:rFonts w:ascii="Arial Narrow" w:hAnsi="Arial Narrow"/>
                <w:b/>
                <w:bCs/>
                <w:color w:val="000000"/>
                <w:sz w:val="16"/>
                <w:szCs w:val="16"/>
              </w:rPr>
              <w:t>Tipo de Póliza</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Importe</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Partida</w:t>
            </w:r>
          </w:p>
        </w:tc>
      </w:tr>
      <w:tr w:rsidR="000D1721" w:rsidRPr="00D855E0" w:rsidTr="000D1721">
        <w:trPr>
          <w:trHeight w:val="315"/>
        </w:trPr>
        <w:tc>
          <w:tcPr>
            <w:tcW w:w="1008" w:type="dxa"/>
            <w:tcBorders>
              <w:top w:val="nil"/>
              <w:left w:val="single" w:sz="8" w:space="0" w:color="auto"/>
              <w:bottom w:val="single" w:sz="8" w:space="0" w:color="auto"/>
              <w:right w:val="single" w:sz="4" w:space="0" w:color="auto"/>
            </w:tcBorders>
            <w:shd w:val="clear" w:color="auto" w:fill="auto"/>
            <w:noWrap/>
            <w:vAlign w:val="bottom"/>
            <w:hideMark/>
          </w:tcPr>
          <w:p w:rsidR="000D1721" w:rsidRPr="00D855E0" w:rsidRDefault="000D1721" w:rsidP="000D1721">
            <w:pPr>
              <w:jc w:val="right"/>
              <w:rPr>
                <w:rFonts w:ascii="Arial Narrow" w:hAnsi="Arial Narrow"/>
                <w:color w:val="000000"/>
                <w:sz w:val="16"/>
                <w:szCs w:val="16"/>
              </w:rPr>
            </w:pPr>
            <w:r w:rsidRPr="00D855E0">
              <w:rPr>
                <w:rFonts w:ascii="Arial Narrow" w:hAnsi="Arial Narrow"/>
                <w:color w:val="000000"/>
                <w:sz w:val="16"/>
                <w:szCs w:val="16"/>
              </w:rPr>
              <w:t xml:space="preserve">    20-may-10</w:t>
            </w:r>
          </w:p>
        </w:tc>
        <w:tc>
          <w:tcPr>
            <w:tcW w:w="992" w:type="dxa"/>
            <w:tcBorders>
              <w:top w:val="nil"/>
              <w:left w:val="nil"/>
              <w:bottom w:val="single" w:sz="8"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PD/12</w:t>
            </w:r>
          </w:p>
        </w:tc>
        <w:tc>
          <w:tcPr>
            <w:tcW w:w="926" w:type="dxa"/>
            <w:tcBorders>
              <w:top w:val="nil"/>
              <w:left w:val="nil"/>
              <w:bottom w:val="single" w:sz="8"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Diario</w:t>
            </w:r>
          </w:p>
        </w:tc>
        <w:tc>
          <w:tcPr>
            <w:tcW w:w="992" w:type="dxa"/>
            <w:tcBorders>
              <w:top w:val="nil"/>
              <w:left w:val="nil"/>
              <w:bottom w:val="single" w:sz="8" w:space="0" w:color="auto"/>
              <w:right w:val="single" w:sz="4"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 xml:space="preserve">       25,000.00 </w:t>
            </w:r>
          </w:p>
        </w:tc>
        <w:tc>
          <w:tcPr>
            <w:tcW w:w="709" w:type="dxa"/>
            <w:tcBorders>
              <w:top w:val="nil"/>
              <w:left w:val="nil"/>
              <w:bottom w:val="single" w:sz="8" w:space="0" w:color="auto"/>
              <w:right w:val="single" w:sz="8" w:space="0" w:color="auto"/>
            </w:tcBorders>
            <w:shd w:val="clear" w:color="auto" w:fill="auto"/>
            <w:noWrap/>
            <w:vAlign w:val="bottom"/>
            <w:hideMark/>
          </w:tcPr>
          <w:p w:rsidR="000D1721" w:rsidRPr="00D855E0" w:rsidRDefault="000D1721" w:rsidP="000D1721">
            <w:pPr>
              <w:jc w:val="right"/>
              <w:rPr>
                <w:rFonts w:ascii="Arial Narrow" w:hAnsi="Arial Narrow"/>
                <w:color w:val="000000"/>
                <w:sz w:val="16"/>
                <w:szCs w:val="16"/>
              </w:rPr>
            </w:pPr>
            <w:r w:rsidRPr="00D855E0">
              <w:rPr>
                <w:rFonts w:ascii="Arial Narrow" w:hAnsi="Arial Narrow"/>
                <w:color w:val="000000"/>
                <w:sz w:val="16"/>
                <w:szCs w:val="16"/>
              </w:rPr>
              <w:t>3301</w:t>
            </w:r>
          </w:p>
        </w:tc>
      </w:tr>
      <w:tr w:rsidR="000D1721" w:rsidRPr="00D855E0" w:rsidTr="000D1721">
        <w:trPr>
          <w:trHeight w:val="315"/>
        </w:trPr>
        <w:tc>
          <w:tcPr>
            <w:tcW w:w="1008" w:type="dxa"/>
            <w:tcBorders>
              <w:top w:val="nil"/>
              <w:left w:val="nil"/>
              <w:bottom w:val="nil"/>
              <w:right w:val="nil"/>
            </w:tcBorders>
            <w:shd w:val="clear" w:color="auto" w:fill="auto"/>
            <w:noWrap/>
            <w:vAlign w:val="bottom"/>
            <w:hideMark/>
          </w:tcPr>
          <w:p w:rsidR="000D1721" w:rsidRPr="00D855E0" w:rsidRDefault="000D1721" w:rsidP="000D1721">
            <w:pPr>
              <w:rPr>
                <w:rFonts w:ascii="Arial Narrow" w:hAnsi="Arial Narrow"/>
                <w:color w:val="000000"/>
                <w:sz w:val="16"/>
                <w:szCs w:val="16"/>
              </w:rPr>
            </w:pPr>
          </w:p>
        </w:tc>
        <w:tc>
          <w:tcPr>
            <w:tcW w:w="992" w:type="dxa"/>
            <w:tcBorders>
              <w:top w:val="nil"/>
              <w:left w:val="nil"/>
              <w:bottom w:val="nil"/>
              <w:right w:val="nil"/>
            </w:tcBorders>
            <w:shd w:val="clear" w:color="auto" w:fill="auto"/>
            <w:noWrap/>
            <w:vAlign w:val="bottom"/>
            <w:hideMark/>
          </w:tcPr>
          <w:p w:rsidR="000D1721" w:rsidRPr="00D855E0" w:rsidRDefault="000D1721" w:rsidP="000D1721">
            <w:pPr>
              <w:rPr>
                <w:rFonts w:ascii="Arial Narrow" w:hAnsi="Arial Narrow"/>
                <w:color w:val="000000"/>
                <w:sz w:val="16"/>
                <w:szCs w:val="16"/>
              </w:rPr>
            </w:pPr>
          </w:p>
        </w:tc>
        <w:tc>
          <w:tcPr>
            <w:tcW w:w="926" w:type="dxa"/>
            <w:tcBorders>
              <w:top w:val="nil"/>
              <w:left w:val="single" w:sz="8" w:space="0" w:color="auto"/>
              <w:bottom w:val="single" w:sz="8" w:space="0" w:color="auto"/>
              <w:right w:val="single" w:sz="8" w:space="0" w:color="auto"/>
            </w:tcBorders>
            <w:shd w:val="clear" w:color="auto" w:fill="auto"/>
            <w:noWrap/>
            <w:vAlign w:val="bottom"/>
            <w:hideMark/>
          </w:tcPr>
          <w:p w:rsidR="000D1721" w:rsidRPr="00D855E0" w:rsidRDefault="000D1721" w:rsidP="000D1721">
            <w:pPr>
              <w:rPr>
                <w:rFonts w:ascii="Arial Narrow" w:hAnsi="Arial Narrow"/>
                <w:color w:val="000000"/>
                <w:sz w:val="16"/>
                <w:szCs w:val="16"/>
              </w:rPr>
            </w:pPr>
            <w:r w:rsidRPr="00D855E0">
              <w:rPr>
                <w:rFonts w:ascii="Arial Narrow" w:hAnsi="Arial Narrow"/>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0D1721" w:rsidRPr="00D855E0" w:rsidRDefault="000D1721" w:rsidP="000D1721">
            <w:pPr>
              <w:rPr>
                <w:rFonts w:ascii="Arial Narrow" w:hAnsi="Arial Narrow"/>
                <w:b/>
                <w:bCs/>
                <w:color w:val="000000"/>
                <w:sz w:val="16"/>
                <w:szCs w:val="16"/>
              </w:rPr>
            </w:pPr>
            <w:r w:rsidRPr="00D855E0">
              <w:rPr>
                <w:rFonts w:ascii="Arial Narrow" w:hAnsi="Arial Narrow"/>
                <w:b/>
                <w:bCs/>
                <w:color w:val="000000"/>
                <w:sz w:val="16"/>
                <w:szCs w:val="16"/>
              </w:rPr>
              <w:t xml:space="preserve"> $   25,000.</w:t>
            </w:r>
          </w:p>
        </w:tc>
        <w:tc>
          <w:tcPr>
            <w:tcW w:w="709" w:type="dxa"/>
            <w:tcBorders>
              <w:top w:val="nil"/>
              <w:left w:val="nil"/>
              <w:bottom w:val="nil"/>
              <w:right w:val="nil"/>
            </w:tcBorders>
            <w:shd w:val="clear" w:color="auto" w:fill="auto"/>
            <w:noWrap/>
            <w:vAlign w:val="bottom"/>
            <w:hideMark/>
          </w:tcPr>
          <w:p w:rsidR="000D1721" w:rsidRPr="00D855E0" w:rsidRDefault="000D1721" w:rsidP="000D1721">
            <w:pPr>
              <w:rPr>
                <w:rFonts w:ascii="Arial Narrow" w:hAnsi="Arial Narrow"/>
                <w:color w:val="000000"/>
                <w:sz w:val="16"/>
                <w:szCs w:val="16"/>
              </w:rPr>
            </w:pPr>
          </w:p>
        </w:tc>
      </w:tr>
    </w:tbl>
    <w:p w:rsidR="00DF3E7F" w:rsidRPr="00D855E0" w:rsidRDefault="00DF3E7F" w:rsidP="000D1721">
      <w:pPr>
        <w:ind w:left="-142"/>
        <w:rPr>
          <w:rFonts w:ascii="Arial Narrow" w:hAnsi="Arial Narrow"/>
        </w:rPr>
      </w:pPr>
    </w:p>
    <w:tbl>
      <w:tblPr>
        <w:tblpPr w:leftFromText="141" w:rightFromText="141" w:vertAnchor="text" w:horzAnchor="margin" w:tblpXSpec="center" w:tblpY="105"/>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3"/>
        <w:gridCol w:w="3133"/>
        <w:gridCol w:w="3307"/>
      </w:tblGrid>
      <w:tr w:rsidR="002A35FD" w:rsidRPr="00D855E0" w:rsidTr="002A35FD">
        <w:trPr>
          <w:trHeight w:val="716"/>
        </w:trPr>
        <w:tc>
          <w:tcPr>
            <w:tcW w:w="522" w:type="dxa"/>
            <w:shd w:val="clear" w:color="auto" w:fill="CCCCCC"/>
            <w:vAlign w:val="center"/>
          </w:tcPr>
          <w:p w:rsidR="002A35FD" w:rsidRPr="00D855E0" w:rsidRDefault="002A35FD" w:rsidP="002A35FD">
            <w:pPr>
              <w:jc w:val="center"/>
              <w:rPr>
                <w:rFonts w:ascii="Arial Narrow" w:hAnsi="Arial Narrow" w:cs="Arial"/>
                <w:b/>
                <w:sz w:val="20"/>
                <w:szCs w:val="20"/>
              </w:rPr>
            </w:pPr>
            <w:r w:rsidRPr="00D855E0">
              <w:rPr>
                <w:rFonts w:ascii="Arial Narrow" w:hAnsi="Arial Narrow" w:cs="Arial"/>
                <w:b/>
                <w:sz w:val="20"/>
                <w:szCs w:val="20"/>
              </w:rPr>
              <w:t>No.</w:t>
            </w:r>
          </w:p>
        </w:tc>
        <w:tc>
          <w:tcPr>
            <w:tcW w:w="3133" w:type="dxa"/>
            <w:shd w:val="clear" w:color="auto" w:fill="CCCCCC"/>
            <w:vAlign w:val="center"/>
          </w:tcPr>
          <w:p w:rsidR="002A35FD" w:rsidRPr="00D855E0" w:rsidRDefault="002A35FD" w:rsidP="002A35FD">
            <w:pPr>
              <w:jc w:val="center"/>
              <w:rPr>
                <w:rFonts w:ascii="Arial Narrow" w:hAnsi="Arial Narrow" w:cs="Arial"/>
                <w:b/>
                <w:sz w:val="20"/>
                <w:szCs w:val="20"/>
              </w:rPr>
            </w:pPr>
            <w:r w:rsidRPr="00D855E0">
              <w:rPr>
                <w:rFonts w:ascii="Arial Narrow" w:hAnsi="Arial Narrow" w:cs="Arial"/>
                <w:b/>
                <w:sz w:val="20"/>
                <w:szCs w:val="20"/>
              </w:rPr>
              <w:t>OBSERVACIÓN</w:t>
            </w:r>
          </w:p>
        </w:tc>
        <w:tc>
          <w:tcPr>
            <w:tcW w:w="3133" w:type="dxa"/>
            <w:shd w:val="clear" w:color="auto" w:fill="CCCCCC"/>
          </w:tcPr>
          <w:p w:rsidR="002A35FD" w:rsidRPr="00D855E0" w:rsidRDefault="002A35FD" w:rsidP="002A35FD">
            <w:pPr>
              <w:jc w:val="center"/>
              <w:rPr>
                <w:rFonts w:ascii="Arial Narrow" w:hAnsi="Arial Narrow" w:cs="Arial"/>
                <w:b/>
                <w:sz w:val="20"/>
                <w:szCs w:val="20"/>
              </w:rPr>
            </w:pPr>
          </w:p>
          <w:p w:rsidR="002A35FD" w:rsidRPr="00D855E0" w:rsidRDefault="002A35FD" w:rsidP="002A35FD">
            <w:pPr>
              <w:jc w:val="center"/>
              <w:rPr>
                <w:rFonts w:ascii="Arial Narrow" w:hAnsi="Arial Narrow" w:cs="Arial"/>
                <w:b/>
                <w:sz w:val="20"/>
                <w:szCs w:val="20"/>
              </w:rPr>
            </w:pPr>
            <w:r w:rsidRPr="00D855E0">
              <w:rPr>
                <w:rFonts w:ascii="Arial Narrow" w:hAnsi="Arial Narrow" w:cs="Arial"/>
                <w:b/>
                <w:sz w:val="20"/>
                <w:szCs w:val="20"/>
              </w:rPr>
              <w:t>JUSTIFICACIÓN</w:t>
            </w:r>
          </w:p>
          <w:p w:rsidR="002A35FD" w:rsidRPr="00D855E0" w:rsidRDefault="002A35FD" w:rsidP="002A35FD">
            <w:pPr>
              <w:rPr>
                <w:rFonts w:ascii="Arial Narrow" w:hAnsi="Arial Narrow" w:cs="Arial"/>
                <w:b/>
                <w:sz w:val="20"/>
                <w:szCs w:val="20"/>
              </w:rPr>
            </w:pPr>
          </w:p>
        </w:tc>
        <w:tc>
          <w:tcPr>
            <w:tcW w:w="3307" w:type="dxa"/>
            <w:shd w:val="clear" w:color="auto" w:fill="CCCCCC"/>
            <w:vAlign w:val="center"/>
          </w:tcPr>
          <w:p w:rsidR="002A35FD" w:rsidRPr="00D855E0" w:rsidRDefault="002A35FD" w:rsidP="002A35FD">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2A35FD" w:rsidRPr="00D855E0" w:rsidTr="002A35FD">
        <w:trPr>
          <w:trHeight w:val="227"/>
        </w:trPr>
        <w:tc>
          <w:tcPr>
            <w:tcW w:w="522" w:type="dxa"/>
            <w:vAlign w:val="center"/>
          </w:tcPr>
          <w:p w:rsidR="002A35FD" w:rsidRPr="00D855E0" w:rsidRDefault="002A35FD" w:rsidP="002A35FD">
            <w:pPr>
              <w:spacing w:line="240" w:lineRule="exact"/>
              <w:jc w:val="center"/>
              <w:rPr>
                <w:rFonts w:ascii="Arial Narrow" w:hAnsi="Arial Narrow" w:cs="Arial"/>
                <w:sz w:val="20"/>
                <w:szCs w:val="20"/>
              </w:rPr>
            </w:pPr>
            <w:r w:rsidRPr="00D855E0">
              <w:rPr>
                <w:rFonts w:ascii="Arial Narrow" w:hAnsi="Arial Narrow" w:cs="Arial"/>
                <w:sz w:val="20"/>
                <w:szCs w:val="20"/>
              </w:rPr>
              <w:t>7</w:t>
            </w:r>
          </w:p>
        </w:tc>
        <w:tc>
          <w:tcPr>
            <w:tcW w:w="3133" w:type="dxa"/>
          </w:tcPr>
          <w:p w:rsidR="002A35FD" w:rsidRPr="00D855E0" w:rsidRDefault="002A35FD" w:rsidP="002A35FD">
            <w:pPr>
              <w:jc w:val="both"/>
              <w:rPr>
                <w:rFonts w:ascii="Arial Narrow" w:hAnsi="Arial Narrow" w:cs="Arial"/>
                <w:sz w:val="20"/>
                <w:szCs w:val="20"/>
              </w:rPr>
            </w:pPr>
            <w:r w:rsidRPr="00D855E0">
              <w:rPr>
                <w:rFonts w:ascii="Arial Narrow" w:hAnsi="Arial Narrow" w:cs="Arial"/>
              </w:rPr>
              <w:t>No fue exhibida la documentación comprobatoria que ampara el gasto ejercido por la cantidad $ 30,000, correspondiente a diversas pólizas que afectaron las siguientes partidas: 1) 3301 “Asesoría y Capacitación” por $ 25,000 y 2) 3907 “Ayudas Diversas” por $5,000</w:t>
            </w:r>
          </w:p>
        </w:tc>
        <w:tc>
          <w:tcPr>
            <w:tcW w:w="3133" w:type="dxa"/>
          </w:tcPr>
          <w:p w:rsidR="001E636F" w:rsidRPr="00443483" w:rsidRDefault="001E636F" w:rsidP="001E636F">
            <w:pPr>
              <w:jc w:val="both"/>
              <w:rPr>
                <w:rFonts w:ascii="Arial Narrow" w:hAnsi="Arial Narrow" w:cs="Arial"/>
              </w:rPr>
            </w:pPr>
            <w:r w:rsidRPr="00443483">
              <w:rPr>
                <w:rFonts w:ascii="Arial Narrow" w:hAnsi="Arial Narrow" w:cs="Arial"/>
              </w:rPr>
              <w:t xml:space="preserve">Referente a la PD-12 de fecha 20/05/10, por concepto de provisión de gasto de recibo de honorarios No. 0319 de Sergio Varela Reyes, por la cantidad de 25,000, por concepto de subsidio del 50% restante correspondiente a la segunda parte del servicio de consultoría para la incubación de emprendedores, para la Comisión de Fomento </w:t>
            </w:r>
            <w:r w:rsidR="00865255" w:rsidRPr="00443483">
              <w:rPr>
                <w:rFonts w:ascii="Arial Narrow" w:hAnsi="Arial Narrow" w:cs="Arial"/>
              </w:rPr>
              <w:t xml:space="preserve">Económico </w:t>
            </w:r>
            <w:r w:rsidRPr="00443483">
              <w:rPr>
                <w:rFonts w:ascii="Arial Narrow" w:hAnsi="Arial Narrow" w:cs="Arial"/>
              </w:rPr>
              <w:t>del Municipio de Hermosillo, no fue exhibida a los auditores, ya que en el momento de la revisión se encontraba traspapelada, de la cual se anexa copia.</w:t>
            </w:r>
          </w:p>
          <w:p w:rsidR="001E636F" w:rsidRPr="00443483" w:rsidRDefault="001E636F" w:rsidP="001E636F">
            <w:pPr>
              <w:jc w:val="both"/>
              <w:rPr>
                <w:rFonts w:ascii="Arial Narrow" w:hAnsi="Arial Narrow" w:cs="Arial"/>
              </w:rPr>
            </w:pPr>
          </w:p>
          <w:p w:rsidR="002A35FD" w:rsidRPr="00443483" w:rsidRDefault="001E636F" w:rsidP="001E636F">
            <w:pPr>
              <w:jc w:val="both"/>
              <w:rPr>
                <w:rFonts w:ascii="Arial Narrow" w:hAnsi="Arial Narrow" w:cs="Arial"/>
                <w:sz w:val="20"/>
                <w:szCs w:val="20"/>
              </w:rPr>
            </w:pPr>
            <w:r w:rsidRPr="00443483">
              <w:rPr>
                <w:rFonts w:ascii="Arial Narrow" w:hAnsi="Arial Narrow" w:cs="Arial"/>
              </w:rPr>
              <w:t xml:space="preserve">En lo que respecta a la PE-18226, a nombre de Fernando Gabriel Gil Lamadrid, por la cantidad de $5,000.00 y de fecha 21/05/10, del cual se anexa copia, se informa que fue un gasto por comprobar para uso en apoyo económico al  Patronato del Orfanato </w:t>
            </w:r>
            <w:proofErr w:type="spellStart"/>
            <w:r w:rsidRPr="00443483">
              <w:rPr>
                <w:rFonts w:ascii="Arial Narrow" w:hAnsi="Arial Narrow" w:cs="Arial"/>
              </w:rPr>
              <w:t>Claret</w:t>
            </w:r>
            <w:proofErr w:type="spellEnd"/>
            <w:r w:rsidRPr="00443483">
              <w:rPr>
                <w:rFonts w:ascii="Arial Narrow" w:hAnsi="Arial Narrow" w:cs="Arial"/>
              </w:rPr>
              <w:t xml:space="preserve">, para la realización de concierto del grupo “Viva la gente”, llevado a </w:t>
            </w:r>
            <w:r w:rsidRPr="00443483">
              <w:rPr>
                <w:rFonts w:ascii="Arial Narrow" w:hAnsi="Arial Narrow" w:cs="Arial"/>
              </w:rPr>
              <w:lastRenderedPageBreak/>
              <w:t xml:space="preserve">cabo en </w:t>
            </w:r>
            <w:proofErr w:type="spellStart"/>
            <w:r w:rsidRPr="00443483">
              <w:rPr>
                <w:rFonts w:ascii="Arial Narrow" w:hAnsi="Arial Narrow" w:cs="Arial"/>
              </w:rPr>
              <w:t>Navojoa</w:t>
            </w:r>
            <w:proofErr w:type="spellEnd"/>
            <w:r w:rsidRPr="00443483">
              <w:rPr>
                <w:rFonts w:ascii="Arial Narrow" w:hAnsi="Arial Narrow" w:cs="Arial"/>
              </w:rPr>
              <w:t>, Sonora.</w:t>
            </w:r>
          </w:p>
        </w:tc>
        <w:tc>
          <w:tcPr>
            <w:tcW w:w="3307" w:type="dxa"/>
          </w:tcPr>
          <w:p w:rsidR="001E636F" w:rsidRPr="00443483" w:rsidRDefault="001E636F" w:rsidP="001E636F">
            <w:pPr>
              <w:jc w:val="both"/>
              <w:rPr>
                <w:rFonts w:ascii="Arial Narrow" w:hAnsi="Arial Narrow" w:cs="Arial"/>
                <w:b/>
              </w:rPr>
            </w:pPr>
            <w:r w:rsidRPr="00443483">
              <w:rPr>
                <w:rFonts w:ascii="Arial Narrow" w:hAnsi="Arial Narrow" w:cs="Arial"/>
              </w:rPr>
              <w:lastRenderedPageBreak/>
              <w:t xml:space="preserve">Referente a la PD-12 de fecha 20/05/10, se hace la aclaración que a la fecha no ha sido </w:t>
            </w:r>
            <w:r w:rsidR="00865255" w:rsidRPr="00443483">
              <w:rPr>
                <w:rFonts w:ascii="Arial Narrow" w:hAnsi="Arial Narrow" w:cs="Arial"/>
              </w:rPr>
              <w:t xml:space="preserve">pagado dicho saldo, debido a que este instituto es intermediario con el Municipio de Hermosillo, por lo que se pagara dicho saldo cuando dicha dependencia aporte los recursos para su pago. </w:t>
            </w:r>
          </w:p>
          <w:p w:rsidR="001E636F" w:rsidRPr="00443483" w:rsidRDefault="001E636F" w:rsidP="001E636F">
            <w:pPr>
              <w:jc w:val="both"/>
              <w:rPr>
                <w:rFonts w:ascii="Arial Narrow" w:hAnsi="Arial Narrow" w:cs="Arial"/>
              </w:rPr>
            </w:pPr>
          </w:p>
          <w:p w:rsidR="001E636F" w:rsidRPr="00443483" w:rsidRDefault="001E636F" w:rsidP="001E636F">
            <w:pPr>
              <w:jc w:val="both"/>
              <w:rPr>
                <w:rFonts w:ascii="Arial Narrow" w:hAnsi="Arial Narrow" w:cs="Arial"/>
              </w:rPr>
            </w:pPr>
          </w:p>
          <w:p w:rsidR="002A35FD" w:rsidRPr="00443483" w:rsidRDefault="001E636F" w:rsidP="001E636F">
            <w:pPr>
              <w:jc w:val="both"/>
              <w:rPr>
                <w:rFonts w:ascii="Arial Narrow" w:hAnsi="Arial Narrow" w:cs="Arial"/>
              </w:rPr>
            </w:pPr>
            <w:r w:rsidRPr="00443483">
              <w:rPr>
                <w:rFonts w:ascii="Arial Narrow" w:hAnsi="Arial Narrow" w:cs="Arial"/>
              </w:rPr>
              <w:t>Referente a la PE-18226, se realizó la comprobación correspondiente, mediante PD-22 de fecha (31/08/10), de la cual se anexa copia</w:t>
            </w:r>
            <w:r w:rsidR="00865255" w:rsidRPr="00443483">
              <w:rPr>
                <w:rFonts w:ascii="Arial Narrow" w:hAnsi="Arial Narrow" w:cs="Arial"/>
              </w:rPr>
              <w:t>.</w:t>
            </w:r>
          </w:p>
          <w:p w:rsidR="00865255" w:rsidRPr="00443483" w:rsidRDefault="00865255" w:rsidP="001E636F">
            <w:pPr>
              <w:jc w:val="both"/>
              <w:rPr>
                <w:rFonts w:ascii="Arial Narrow" w:hAnsi="Arial Narrow" w:cs="Arial"/>
              </w:rPr>
            </w:pPr>
          </w:p>
          <w:p w:rsidR="00865255" w:rsidRPr="00443483" w:rsidRDefault="00865255" w:rsidP="001E636F">
            <w:pPr>
              <w:jc w:val="both"/>
              <w:rPr>
                <w:rFonts w:ascii="Arial Narrow" w:hAnsi="Arial Narrow" w:cs="Arial"/>
                <w:sz w:val="20"/>
                <w:szCs w:val="20"/>
              </w:rPr>
            </w:pPr>
            <w:r w:rsidRPr="00443483">
              <w:rPr>
                <w:rFonts w:ascii="Arial Narrow" w:hAnsi="Arial Narrow" w:cs="Arial"/>
              </w:rPr>
              <w:t xml:space="preserve">Dentro del </w:t>
            </w:r>
            <w:r w:rsidRPr="00443483">
              <w:rPr>
                <w:rFonts w:ascii="Arial Narrow" w:hAnsi="Arial Narrow" w:cs="Arial"/>
                <w:b/>
              </w:rPr>
              <w:t xml:space="preserve">apartado # 7, </w:t>
            </w:r>
            <w:r w:rsidRPr="00443483">
              <w:rPr>
                <w:rFonts w:ascii="Arial Narrow" w:hAnsi="Arial Narrow" w:cs="Arial"/>
              </w:rPr>
              <w:t>se anexa la documentación comprobatoria.</w:t>
            </w:r>
          </w:p>
        </w:tc>
      </w:tr>
    </w:tbl>
    <w:p w:rsidR="00DF3E7F" w:rsidRDefault="00DF3E7F">
      <w:pPr>
        <w:rPr>
          <w:rFonts w:ascii="Arial Narrow" w:hAnsi="Arial Narrow"/>
        </w:rPr>
      </w:pPr>
    </w:p>
    <w:p w:rsidR="00DF3E7F" w:rsidRPr="00D855E0" w:rsidRDefault="000D1721" w:rsidP="000D1721">
      <w:pPr>
        <w:pStyle w:val="Prrafodelista"/>
        <w:numPr>
          <w:ilvl w:val="0"/>
          <w:numId w:val="2"/>
        </w:numPr>
        <w:jc w:val="both"/>
        <w:rPr>
          <w:rFonts w:ascii="Arial Narrow" w:hAnsi="Arial Narrow" w:cs="Arial"/>
          <w:b/>
        </w:rPr>
      </w:pPr>
      <w:r w:rsidRPr="00D855E0">
        <w:rPr>
          <w:rFonts w:ascii="Arial Narrow" w:hAnsi="Arial Narrow" w:cs="Arial"/>
          <w:b/>
        </w:rPr>
        <w:t>No existe evidencia en las pólizas de diario y de ingresos, del funcionario o empleado que participo en su elaboración, revisión y autorización, debido a que carecen de las firmas, dificultando con ello su identificación, en caso de cualquier aclaración.</w:t>
      </w:r>
    </w:p>
    <w:p w:rsidR="00DF3E7F" w:rsidRPr="00D855E0" w:rsidRDefault="00DF3E7F">
      <w:pPr>
        <w:rPr>
          <w:rFonts w:ascii="Arial Narrow" w:hAnsi="Arial Narrow"/>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3"/>
        <w:gridCol w:w="3133"/>
        <w:gridCol w:w="3307"/>
      </w:tblGrid>
      <w:tr w:rsidR="00507CD2" w:rsidRPr="00D855E0" w:rsidTr="002A2BB5">
        <w:trPr>
          <w:trHeight w:val="716"/>
        </w:trPr>
        <w:tc>
          <w:tcPr>
            <w:tcW w:w="522" w:type="dxa"/>
            <w:shd w:val="clear" w:color="auto" w:fill="CCCCCC"/>
            <w:vAlign w:val="center"/>
          </w:tcPr>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No.</w:t>
            </w:r>
          </w:p>
        </w:tc>
        <w:tc>
          <w:tcPr>
            <w:tcW w:w="3133" w:type="dxa"/>
            <w:shd w:val="clear" w:color="auto" w:fill="CCCCCC"/>
            <w:vAlign w:val="center"/>
          </w:tcPr>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OBSERVACIÓN</w:t>
            </w:r>
          </w:p>
        </w:tc>
        <w:tc>
          <w:tcPr>
            <w:tcW w:w="3133" w:type="dxa"/>
            <w:shd w:val="clear" w:color="auto" w:fill="CCCCCC"/>
          </w:tcPr>
          <w:p w:rsidR="00507CD2" w:rsidRPr="00D855E0" w:rsidRDefault="00507CD2" w:rsidP="00721DBF">
            <w:pPr>
              <w:jc w:val="center"/>
              <w:rPr>
                <w:rFonts w:ascii="Arial Narrow" w:hAnsi="Arial Narrow" w:cs="Arial"/>
                <w:b/>
                <w:sz w:val="20"/>
                <w:szCs w:val="20"/>
              </w:rPr>
            </w:pPr>
          </w:p>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JUSTIFICACIÓN</w:t>
            </w:r>
          </w:p>
          <w:p w:rsidR="00507CD2" w:rsidRPr="00D855E0" w:rsidRDefault="00507CD2" w:rsidP="00721DBF">
            <w:pPr>
              <w:rPr>
                <w:rFonts w:ascii="Arial Narrow" w:hAnsi="Arial Narrow" w:cs="Arial"/>
                <w:b/>
                <w:sz w:val="20"/>
                <w:szCs w:val="20"/>
              </w:rPr>
            </w:pPr>
          </w:p>
        </w:tc>
        <w:tc>
          <w:tcPr>
            <w:tcW w:w="3307" w:type="dxa"/>
            <w:shd w:val="clear" w:color="auto" w:fill="CCCCCC"/>
            <w:vAlign w:val="center"/>
          </w:tcPr>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507CD2" w:rsidRPr="00D855E0" w:rsidTr="002A2BB5">
        <w:trPr>
          <w:trHeight w:val="227"/>
        </w:trPr>
        <w:tc>
          <w:tcPr>
            <w:tcW w:w="522" w:type="dxa"/>
            <w:vAlign w:val="center"/>
          </w:tcPr>
          <w:p w:rsidR="00507CD2" w:rsidRPr="00D855E0" w:rsidRDefault="00507CD2" w:rsidP="00721DBF">
            <w:pPr>
              <w:spacing w:line="240" w:lineRule="exact"/>
              <w:jc w:val="center"/>
              <w:rPr>
                <w:rFonts w:ascii="Arial Narrow" w:hAnsi="Arial Narrow" w:cs="Arial"/>
                <w:sz w:val="20"/>
                <w:szCs w:val="20"/>
              </w:rPr>
            </w:pPr>
          </w:p>
          <w:p w:rsidR="000D1721" w:rsidRPr="00D855E0" w:rsidRDefault="000D1721" w:rsidP="00721DBF">
            <w:pPr>
              <w:spacing w:line="240" w:lineRule="exact"/>
              <w:jc w:val="center"/>
              <w:rPr>
                <w:rFonts w:ascii="Arial Narrow" w:hAnsi="Arial Narrow" w:cs="Arial"/>
                <w:sz w:val="20"/>
                <w:szCs w:val="20"/>
              </w:rPr>
            </w:pPr>
          </w:p>
          <w:p w:rsidR="000D1721" w:rsidRPr="00D855E0" w:rsidRDefault="000D1721" w:rsidP="00721DBF">
            <w:pPr>
              <w:spacing w:line="240" w:lineRule="exact"/>
              <w:jc w:val="center"/>
              <w:rPr>
                <w:rFonts w:ascii="Arial Narrow" w:hAnsi="Arial Narrow" w:cs="Arial"/>
                <w:sz w:val="20"/>
                <w:szCs w:val="20"/>
              </w:rPr>
            </w:pPr>
            <w:r w:rsidRPr="00D855E0">
              <w:rPr>
                <w:rFonts w:ascii="Arial Narrow" w:hAnsi="Arial Narrow" w:cs="Arial"/>
                <w:sz w:val="20"/>
                <w:szCs w:val="20"/>
              </w:rPr>
              <w:t>8</w:t>
            </w:r>
          </w:p>
        </w:tc>
        <w:tc>
          <w:tcPr>
            <w:tcW w:w="3133" w:type="dxa"/>
          </w:tcPr>
          <w:p w:rsidR="000D1721" w:rsidRPr="00D855E0" w:rsidRDefault="000D1721" w:rsidP="000D1721">
            <w:pPr>
              <w:jc w:val="both"/>
              <w:rPr>
                <w:rFonts w:ascii="Arial Narrow" w:hAnsi="Arial Narrow" w:cs="Arial"/>
              </w:rPr>
            </w:pPr>
            <w:r w:rsidRPr="00D855E0">
              <w:rPr>
                <w:rFonts w:ascii="Arial Narrow" w:hAnsi="Arial Narrow" w:cs="Arial"/>
              </w:rPr>
              <w:t>No existe evidencia en las pólizas de diario y de ingresos, del funcionario o empleado que participo en su elaboración, revisión y autorización, debido a que carecen de las firmas, dificultando con ello su identificación, en caso de cualquier aclaración.</w:t>
            </w:r>
          </w:p>
          <w:p w:rsidR="00507CD2" w:rsidRPr="00D855E0" w:rsidRDefault="00507CD2" w:rsidP="00721DBF">
            <w:pPr>
              <w:jc w:val="both"/>
              <w:rPr>
                <w:rFonts w:ascii="Arial Narrow" w:hAnsi="Arial Narrow" w:cs="Arial"/>
                <w:sz w:val="20"/>
                <w:szCs w:val="20"/>
              </w:rPr>
            </w:pPr>
          </w:p>
        </w:tc>
        <w:tc>
          <w:tcPr>
            <w:tcW w:w="3133" w:type="dxa"/>
          </w:tcPr>
          <w:p w:rsidR="00507CD2" w:rsidRPr="00443483" w:rsidRDefault="00292946" w:rsidP="00721DBF">
            <w:pPr>
              <w:jc w:val="both"/>
              <w:rPr>
                <w:rFonts w:ascii="Arial Narrow" w:hAnsi="Arial Narrow" w:cs="Arial"/>
              </w:rPr>
            </w:pPr>
            <w:r w:rsidRPr="00443483">
              <w:rPr>
                <w:rFonts w:ascii="Arial Narrow" w:hAnsi="Arial Narrow" w:cs="Arial"/>
              </w:rPr>
              <w:t>Efectivamente las pólizas de diario y de ingreso no contaban con las firmas de los funcionarios que elaboran, revisan y autorizan dichos registros contables, debido a que el sistema de contabilidad no marcaban dichos requerimientos. Por lo que se han tomado las medidas necesarias para evitar este tipo de observaciones.</w:t>
            </w:r>
          </w:p>
        </w:tc>
        <w:tc>
          <w:tcPr>
            <w:tcW w:w="3307" w:type="dxa"/>
          </w:tcPr>
          <w:p w:rsidR="00507CD2" w:rsidRPr="00443483" w:rsidRDefault="00292946" w:rsidP="00721DBF">
            <w:pPr>
              <w:jc w:val="both"/>
              <w:rPr>
                <w:rFonts w:ascii="Arial Narrow" w:hAnsi="Arial Narrow" w:cs="Arial"/>
              </w:rPr>
            </w:pPr>
            <w:r w:rsidRPr="00443483">
              <w:rPr>
                <w:rFonts w:ascii="Arial Narrow" w:hAnsi="Arial Narrow" w:cs="Arial"/>
              </w:rPr>
              <w:t xml:space="preserve">Se han tomado las medidas necesarias para que en lo subsecuente, se le agregue a las pólizas de diario y de ingresos un espacio donde puedan plasmarse las rubricas de las personas que participan en la elaboración, revisión y autorización de las pólizas. </w:t>
            </w:r>
          </w:p>
        </w:tc>
      </w:tr>
    </w:tbl>
    <w:p w:rsidR="00660EE9" w:rsidRPr="00D855E0" w:rsidRDefault="00660EE9">
      <w:pPr>
        <w:rPr>
          <w:rFonts w:ascii="Arial Narrow" w:hAnsi="Arial Narrow"/>
        </w:rPr>
      </w:pPr>
    </w:p>
    <w:p w:rsidR="00660EE9" w:rsidRDefault="00660EE9">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816930" w:rsidRDefault="00816930">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Default="00292946">
      <w:pPr>
        <w:rPr>
          <w:rFonts w:ascii="Arial Narrow" w:hAnsi="Arial Narrow"/>
        </w:rPr>
      </w:pPr>
    </w:p>
    <w:p w:rsidR="00292946" w:rsidRPr="00D855E0" w:rsidRDefault="00292946">
      <w:pPr>
        <w:rPr>
          <w:rFonts w:ascii="Arial Narrow" w:hAnsi="Arial Narrow"/>
        </w:rPr>
      </w:pPr>
    </w:p>
    <w:p w:rsidR="000D1721" w:rsidRPr="00D855E0" w:rsidRDefault="000D1721" w:rsidP="000D1721">
      <w:pPr>
        <w:pStyle w:val="Prrafodelista"/>
        <w:numPr>
          <w:ilvl w:val="0"/>
          <w:numId w:val="2"/>
        </w:numPr>
        <w:jc w:val="both"/>
        <w:rPr>
          <w:rFonts w:ascii="Arial Narrow" w:hAnsi="Arial Narrow" w:cs="Arial"/>
          <w:b/>
        </w:rPr>
      </w:pPr>
      <w:r w:rsidRPr="00D855E0">
        <w:rPr>
          <w:rFonts w:ascii="Arial Narrow" w:hAnsi="Arial Narrow" w:cs="Arial"/>
          <w:b/>
        </w:rPr>
        <w:t>En relación con los ingresos propios del sujeto fiscalizado correspondientes al ejercicio 2010, se determino que no se consideraron en la Ley de Ingresos y Presupuesto de Ingresos para el ejercicio 2010, los ingresos propios obtenidos por $30,480, según lo manifestado en el</w:t>
      </w:r>
      <w:r w:rsidR="002A2BB5" w:rsidRPr="00D855E0">
        <w:rPr>
          <w:rFonts w:ascii="Arial Narrow" w:hAnsi="Arial Narrow" w:cs="Arial"/>
          <w:b/>
        </w:rPr>
        <w:t xml:space="preserve"> formato EVTOP-01  denominado “S</w:t>
      </w:r>
      <w:r w:rsidRPr="00D855E0">
        <w:rPr>
          <w:rFonts w:ascii="Arial Narrow" w:hAnsi="Arial Narrow" w:cs="Arial"/>
          <w:b/>
        </w:rPr>
        <w:t>eguimiento Financiero de Ingresos y Egresos de Organismos y Entidades de la Administración Publica Estatal” del informe relativo al segundo trimestre del ejercicio 2010.</w:t>
      </w:r>
    </w:p>
    <w:p w:rsidR="00660EE9" w:rsidRPr="00D855E0" w:rsidRDefault="00660EE9">
      <w:pPr>
        <w:rPr>
          <w:rFonts w:ascii="Arial Narrow" w:hAnsi="Arial Narrow"/>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3"/>
        <w:gridCol w:w="3133"/>
        <w:gridCol w:w="3307"/>
      </w:tblGrid>
      <w:tr w:rsidR="00507CD2" w:rsidRPr="00D855E0" w:rsidTr="00816930">
        <w:trPr>
          <w:trHeight w:val="716"/>
        </w:trPr>
        <w:tc>
          <w:tcPr>
            <w:tcW w:w="522" w:type="dxa"/>
            <w:shd w:val="clear" w:color="auto" w:fill="CCCCCC"/>
            <w:vAlign w:val="center"/>
          </w:tcPr>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No.</w:t>
            </w:r>
          </w:p>
        </w:tc>
        <w:tc>
          <w:tcPr>
            <w:tcW w:w="3133" w:type="dxa"/>
            <w:shd w:val="clear" w:color="auto" w:fill="CCCCCC"/>
            <w:vAlign w:val="center"/>
          </w:tcPr>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OBSERVACIÓN</w:t>
            </w:r>
          </w:p>
        </w:tc>
        <w:tc>
          <w:tcPr>
            <w:tcW w:w="3133" w:type="dxa"/>
            <w:shd w:val="clear" w:color="auto" w:fill="CCCCCC"/>
          </w:tcPr>
          <w:p w:rsidR="00507CD2" w:rsidRPr="00D855E0" w:rsidRDefault="00507CD2" w:rsidP="00721DBF">
            <w:pPr>
              <w:jc w:val="center"/>
              <w:rPr>
                <w:rFonts w:ascii="Arial Narrow" w:hAnsi="Arial Narrow" w:cs="Arial"/>
                <w:b/>
                <w:sz w:val="20"/>
                <w:szCs w:val="20"/>
              </w:rPr>
            </w:pPr>
          </w:p>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JUSTIFICACIÓN</w:t>
            </w:r>
          </w:p>
          <w:p w:rsidR="00507CD2" w:rsidRPr="00D855E0" w:rsidRDefault="00507CD2" w:rsidP="00721DBF">
            <w:pPr>
              <w:rPr>
                <w:rFonts w:ascii="Arial Narrow" w:hAnsi="Arial Narrow" w:cs="Arial"/>
                <w:b/>
                <w:sz w:val="20"/>
                <w:szCs w:val="20"/>
              </w:rPr>
            </w:pPr>
          </w:p>
        </w:tc>
        <w:tc>
          <w:tcPr>
            <w:tcW w:w="3307" w:type="dxa"/>
            <w:shd w:val="clear" w:color="auto" w:fill="CCCCCC"/>
            <w:vAlign w:val="center"/>
          </w:tcPr>
          <w:p w:rsidR="00507CD2" w:rsidRPr="00D855E0" w:rsidRDefault="00507CD2" w:rsidP="00721DBF">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507CD2" w:rsidRPr="00D855E0" w:rsidTr="00816930">
        <w:trPr>
          <w:trHeight w:val="227"/>
        </w:trPr>
        <w:tc>
          <w:tcPr>
            <w:tcW w:w="522" w:type="dxa"/>
            <w:vAlign w:val="center"/>
          </w:tcPr>
          <w:p w:rsidR="00507CD2" w:rsidRPr="00D855E0" w:rsidRDefault="000D1721" w:rsidP="00721DBF">
            <w:pPr>
              <w:spacing w:line="240" w:lineRule="exact"/>
              <w:jc w:val="center"/>
              <w:rPr>
                <w:rFonts w:ascii="Arial Narrow" w:hAnsi="Arial Narrow" w:cs="Arial"/>
                <w:sz w:val="20"/>
                <w:szCs w:val="20"/>
              </w:rPr>
            </w:pPr>
            <w:r w:rsidRPr="00D855E0">
              <w:rPr>
                <w:rFonts w:ascii="Arial Narrow" w:hAnsi="Arial Narrow" w:cs="Arial"/>
                <w:sz w:val="20"/>
                <w:szCs w:val="20"/>
              </w:rPr>
              <w:t>9</w:t>
            </w:r>
          </w:p>
        </w:tc>
        <w:tc>
          <w:tcPr>
            <w:tcW w:w="3133" w:type="dxa"/>
          </w:tcPr>
          <w:p w:rsidR="000D1721" w:rsidRPr="00D855E0" w:rsidRDefault="000D1721" w:rsidP="000D1721">
            <w:pPr>
              <w:jc w:val="both"/>
              <w:rPr>
                <w:rFonts w:ascii="Arial Narrow" w:hAnsi="Arial Narrow" w:cs="Arial"/>
              </w:rPr>
            </w:pPr>
            <w:r w:rsidRPr="00D855E0">
              <w:rPr>
                <w:rFonts w:ascii="Arial Narrow" w:hAnsi="Arial Narrow" w:cs="Arial"/>
              </w:rPr>
              <w:t>En relación con los ingresos propios del sujeto fiscalizado correspondientes al ejercicio 2010, se determino que no se consideraron en la Ley de Ingresos y Presupuesto de Ingresos para el ejercicio 2010, los ingresos propios obtenidos por $30,480, según lo manifestado en el formato EVTOP-01  denominado “seguimiento Financiero de Ingresos y Egresos de Organismos y Entidades de la Administración Pública Estatal” del informe relativo al segundo trimestre del ejercicio 2010.</w:t>
            </w:r>
          </w:p>
          <w:p w:rsidR="00507CD2" w:rsidRPr="00D855E0" w:rsidRDefault="00507CD2" w:rsidP="00721DBF">
            <w:pPr>
              <w:jc w:val="both"/>
              <w:rPr>
                <w:rFonts w:ascii="Arial Narrow" w:hAnsi="Arial Narrow" w:cs="Arial"/>
                <w:sz w:val="20"/>
                <w:szCs w:val="20"/>
              </w:rPr>
            </w:pPr>
          </w:p>
        </w:tc>
        <w:tc>
          <w:tcPr>
            <w:tcW w:w="3133" w:type="dxa"/>
          </w:tcPr>
          <w:p w:rsidR="00507CD2" w:rsidRPr="00443483" w:rsidRDefault="006D4639" w:rsidP="008306ED">
            <w:pPr>
              <w:jc w:val="both"/>
              <w:rPr>
                <w:rFonts w:ascii="Arial Narrow" w:hAnsi="Arial Narrow" w:cs="Arial"/>
              </w:rPr>
            </w:pPr>
            <w:r w:rsidRPr="00443483">
              <w:rPr>
                <w:rFonts w:ascii="Arial Narrow" w:hAnsi="Arial Narrow" w:cs="Arial"/>
              </w:rPr>
              <w:t xml:space="preserve">Efectivamente la cuenta de ingresos propios no se </w:t>
            </w:r>
            <w:r w:rsidR="008306ED" w:rsidRPr="00443483">
              <w:rPr>
                <w:rFonts w:ascii="Arial Narrow" w:hAnsi="Arial Narrow" w:cs="Arial"/>
              </w:rPr>
              <w:t xml:space="preserve">considera </w:t>
            </w:r>
            <w:r w:rsidRPr="00443483">
              <w:rPr>
                <w:rFonts w:ascii="Arial Narrow" w:hAnsi="Arial Narrow" w:cs="Arial"/>
              </w:rPr>
              <w:t xml:space="preserve"> dentro de la Ley </w:t>
            </w:r>
            <w:r w:rsidR="008306ED" w:rsidRPr="00443483">
              <w:rPr>
                <w:rFonts w:ascii="Arial Narrow" w:hAnsi="Arial Narrow" w:cs="Arial"/>
              </w:rPr>
              <w:t>de Ingresos  y Presupuesto, ya que esta cuenta está destinada para el depósito de apoyos a particulares, para uso en el desarrollo de actividades juveniles; por lo cual, no es posible presupuestarlo, ya que físicamente es imposible prever cuanto se va a recibir durante el año por medio de estos donativos.</w:t>
            </w:r>
          </w:p>
        </w:tc>
        <w:tc>
          <w:tcPr>
            <w:tcW w:w="3307" w:type="dxa"/>
          </w:tcPr>
          <w:p w:rsidR="00507CD2" w:rsidRPr="00443483" w:rsidRDefault="008306ED" w:rsidP="00721DBF">
            <w:pPr>
              <w:jc w:val="both"/>
              <w:rPr>
                <w:rFonts w:ascii="Arial Narrow" w:hAnsi="Arial Narrow" w:cs="Arial"/>
              </w:rPr>
            </w:pPr>
            <w:r w:rsidRPr="00443483">
              <w:rPr>
                <w:rFonts w:ascii="Arial Narrow" w:hAnsi="Arial Narrow" w:cs="Arial"/>
              </w:rPr>
              <w:t xml:space="preserve">Para el </w:t>
            </w:r>
            <w:r w:rsidR="00107778" w:rsidRPr="00443483">
              <w:rPr>
                <w:rFonts w:ascii="Arial Narrow" w:hAnsi="Arial Narrow" w:cs="Arial"/>
              </w:rPr>
              <w:t xml:space="preserve">presupuesto </w:t>
            </w:r>
            <w:r w:rsidRPr="00443483">
              <w:rPr>
                <w:rFonts w:ascii="Arial Narrow" w:hAnsi="Arial Narrow" w:cs="Arial"/>
              </w:rPr>
              <w:t xml:space="preserve">2011 se ha considerado dentro de la Ley de Ingresos y Presupuesto, un estimado de los ingresos que se puedan recibir por medio de estos donativos. </w:t>
            </w:r>
          </w:p>
        </w:tc>
      </w:tr>
    </w:tbl>
    <w:p w:rsidR="00660EE9" w:rsidRPr="00D855E0" w:rsidRDefault="00660EE9">
      <w:pPr>
        <w:rPr>
          <w:rFonts w:ascii="Arial Narrow" w:hAnsi="Arial Narrow"/>
        </w:rPr>
      </w:pPr>
    </w:p>
    <w:p w:rsidR="00660EE9" w:rsidRPr="00D855E0" w:rsidRDefault="00660EE9">
      <w:pPr>
        <w:rPr>
          <w:rFonts w:ascii="Arial Narrow" w:hAnsi="Arial Narrow"/>
        </w:rPr>
      </w:pPr>
    </w:p>
    <w:p w:rsidR="00660EE9" w:rsidRDefault="00660EE9">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Pr="00D855E0" w:rsidRDefault="008306ED">
      <w:pPr>
        <w:rPr>
          <w:rFonts w:ascii="Arial Narrow" w:hAnsi="Arial Narrow"/>
        </w:rPr>
      </w:pPr>
    </w:p>
    <w:p w:rsidR="00660EE9" w:rsidRPr="00D855E0" w:rsidRDefault="00660EE9">
      <w:pPr>
        <w:rPr>
          <w:rFonts w:ascii="Arial Narrow" w:hAnsi="Arial Narrow"/>
        </w:rPr>
      </w:pPr>
    </w:p>
    <w:p w:rsidR="00660EE9" w:rsidRPr="00D855E0" w:rsidRDefault="00660EE9">
      <w:pPr>
        <w:rPr>
          <w:rFonts w:ascii="Arial Narrow" w:hAnsi="Arial Narrow"/>
        </w:rPr>
      </w:pPr>
    </w:p>
    <w:p w:rsidR="00660EE9" w:rsidRPr="00D855E0" w:rsidRDefault="00660EE9">
      <w:pPr>
        <w:rPr>
          <w:rFonts w:ascii="Arial Narrow" w:hAnsi="Arial Narrow"/>
        </w:rPr>
      </w:pPr>
    </w:p>
    <w:p w:rsidR="00660EE9" w:rsidRPr="00D855E0" w:rsidRDefault="00623FAF" w:rsidP="00623FAF">
      <w:pPr>
        <w:pStyle w:val="Prrafodelista"/>
        <w:numPr>
          <w:ilvl w:val="0"/>
          <w:numId w:val="2"/>
        </w:numPr>
        <w:jc w:val="both"/>
        <w:rPr>
          <w:rFonts w:ascii="Arial Narrow" w:hAnsi="Arial Narrow" w:cs="Arial"/>
          <w:b/>
        </w:rPr>
      </w:pPr>
      <w:r w:rsidRPr="00D855E0">
        <w:rPr>
          <w:rFonts w:ascii="Arial Narrow" w:hAnsi="Arial Narrow" w:cs="Arial"/>
          <w:b/>
        </w:rPr>
        <w:t xml:space="preserve">  En  relación con el formato EVTOP-02 denominado “Analítico de Recursos Ejercidos por partida presupuestal”, relativo al informe del segundo trimestre de 2010, no se manifestó en el formato EVTOP-04 la justificación correspondiente en cuanto al registro que dio lugar a la disminución en la partida del gasto 3501 denominada “Mantenimiento y Conservación de Mobiliario y Equipo” por $ 7,512.</w:t>
      </w:r>
    </w:p>
    <w:tbl>
      <w:tblPr>
        <w:tblpPr w:leftFromText="141" w:rightFromText="141" w:vertAnchor="text" w:horzAnchor="margin" w:tblpY="13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3"/>
        <w:gridCol w:w="3133"/>
        <w:gridCol w:w="3307"/>
      </w:tblGrid>
      <w:tr w:rsidR="00865255" w:rsidRPr="00D855E0" w:rsidTr="00865255">
        <w:trPr>
          <w:trHeight w:val="716"/>
        </w:trPr>
        <w:tc>
          <w:tcPr>
            <w:tcW w:w="522" w:type="dxa"/>
            <w:shd w:val="clear" w:color="auto" w:fill="CCCCCC"/>
            <w:vAlign w:val="center"/>
          </w:tcPr>
          <w:p w:rsidR="00865255" w:rsidRPr="00D855E0" w:rsidRDefault="00865255" w:rsidP="00865255">
            <w:pPr>
              <w:jc w:val="center"/>
              <w:rPr>
                <w:rFonts w:ascii="Arial Narrow" w:hAnsi="Arial Narrow" w:cs="Arial"/>
                <w:b/>
                <w:sz w:val="20"/>
                <w:szCs w:val="20"/>
              </w:rPr>
            </w:pPr>
            <w:r w:rsidRPr="00D855E0">
              <w:rPr>
                <w:rFonts w:ascii="Arial Narrow" w:hAnsi="Arial Narrow" w:cs="Arial"/>
                <w:b/>
                <w:sz w:val="20"/>
                <w:szCs w:val="20"/>
              </w:rPr>
              <w:t>No.</w:t>
            </w:r>
          </w:p>
        </w:tc>
        <w:tc>
          <w:tcPr>
            <w:tcW w:w="3133" w:type="dxa"/>
            <w:shd w:val="clear" w:color="auto" w:fill="CCCCCC"/>
            <w:vAlign w:val="center"/>
          </w:tcPr>
          <w:p w:rsidR="00865255" w:rsidRPr="00D855E0" w:rsidRDefault="00865255" w:rsidP="00865255">
            <w:pPr>
              <w:jc w:val="center"/>
              <w:rPr>
                <w:rFonts w:ascii="Arial Narrow" w:hAnsi="Arial Narrow" w:cs="Arial"/>
                <w:b/>
                <w:sz w:val="20"/>
                <w:szCs w:val="20"/>
              </w:rPr>
            </w:pPr>
            <w:r w:rsidRPr="00D855E0">
              <w:rPr>
                <w:rFonts w:ascii="Arial Narrow" w:hAnsi="Arial Narrow" w:cs="Arial"/>
                <w:b/>
                <w:sz w:val="20"/>
                <w:szCs w:val="20"/>
              </w:rPr>
              <w:t>OBSERVACIÓN</w:t>
            </w:r>
          </w:p>
        </w:tc>
        <w:tc>
          <w:tcPr>
            <w:tcW w:w="3133" w:type="dxa"/>
            <w:shd w:val="clear" w:color="auto" w:fill="CCCCCC"/>
          </w:tcPr>
          <w:p w:rsidR="00865255" w:rsidRPr="00D855E0" w:rsidRDefault="00865255" w:rsidP="00865255">
            <w:pPr>
              <w:jc w:val="center"/>
              <w:rPr>
                <w:rFonts w:ascii="Arial Narrow" w:hAnsi="Arial Narrow" w:cs="Arial"/>
                <w:b/>
                <w:sz w:val="20"/>
                <w:szCs w:val="20"/>
              </w:rPr>
            </w:pPr>
          </w:p>
          <w:p w:rsidR="00865255" w:rsidRPr="00D855E0" w:rsidRDefault="00865255" w:rsidP="00865255">
            <w:pPr>
              <w:jc w:val="center"/>
              <w:rPr>
                <w:rFonts w:ascii="Arial Narrow" w:hAnsi="Arial Narrow" w:cs="Arial"/>
                <w:b/>
                <w:sz w:val="20"/>
                <w:szCs w:val="20"/>
              </w:rPr>
            </w:pPr>
            <w:r w:rsidRPr="00D855E0">
              <w:rPr>
                <w:rFonts w:ascii="Arial Narrow" w:hAnsi="Arial Narrow" w:cs="Arial"/>
                <w:b/>
                <w:sz w:val="20"/>
                <w:szCs w:val="20"/>
              </w:rPr>
              <w:t>JUSTIFICACIÓN</w:t>
            </w:r>
          </w:p>
          <w:p w:rsidR="00865255" w:rsidRPr="00D855E0" w:rsidRDefault="00865255" w:rsidP="00865255">
            <w:pPr>
              <w:rPr>
                <w:rFonts w:ascii="Arial Narrow" w:hAnsi="Arial Narrow" w:cs="Arial"/>
                <w:b/>
                <w:sz w:val="20"/>
                <w:szCs w:val="20"/>
              </w:rPr>
            </w:pPr>
          </w:p>
        </w:tc>
        <w:tc>
          <w:tcPr>
            <w:tcW w:w="3307" w:type="dxa"/>
            <w:shd w:val="clear" w:color="auto" w:fill="CCCCCC"/>
            <w:vAlign w:val="center"/>
          </w:tcPr>
          <w:p w:rsidR="00865255" w:rsidRPr="00D855E0" w:rsidRDefault="00865255" w:rsidP="00865255">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865255" w:rsidRPr="00D855E0" w:rsidTr="00865255">
        <w:trPr>
          <w:trHeight w:val="227"/>
        </w:trPr>
        <w:tc>
          <w:tcPr>
            <w:tcW w:w="522" w:type="dxa"/>
            <w:vAlign w:val="center"/>
          </w:tcPr>
          <w:p w:rsidR="00865255" w:rsidRPr="00D855E0" w:rsidRDefault="00865255" w:rsidP="00865255">
            <w:pPr>
              <w:spacing w:line="240" w:lineRule="exact"/>
              <w:jc w:val="center"/>
              <w:rPr>
                <w:rFonts w:ascii="Arial Narrow" w:hAnsi="Arial Narrow" w:cs="Arial"/>
                <w:sz w:val="20"/>
                <w:szCs w:val="20"/>
              </w:rPr>
            </w:pPr>
            <w:r w:rsidRPr="00D855E0">
              <w:rPr>
                <w:rFonts w:ascii="Arial Narrow" w:hAnsi="Arial Narrow" w:cs="Arial"/>
                <w:sz w:val="20"/>
                <w:szCs w:val="20"/>
              </w:rPr>
              <w:t>10</w:t>
            </w:r>
          </w:p>
        </w:tc>
        <w:tc>
          <w:tcPr>
            <w:tcW w:w="3133" w:type="dxa"/>
          </w:tcPr>
          <w:p w:rsidR="00865255" w:rsidRPr="00D855E0" w:rsidRDefault="00865255" w:rsidP="00865255">
            <w:pPr>
              <w:jc w:val="both"/>
              <w:rPr>
                <w:rFonts w:ascii="Arial Narrow" w:hAnsi="Arial Narrow" w:cs="Arial"/>
                <w:sz w:val="20"/>
                <w:szCs w:val="20"/>
              </w:rPr>
            </w:pPr>
            <w:r w:rsidRPr="00D855E0">
              <w:rPr>
                <w:rFonts w:ascii="Arial Narrow" w:hAnsi="Arial Narrow" w:cs="Arial"/>
              </w:rPr>
              <w:t>En  relación con el formato EVTOP-02 denominado “Analítico de Recursos Ejercidos por partida presupuestal”, relativo al informe del segundo trimestre de 2010, no se manifestó en el formato EVTOP-04 la justificación correspondiente en cuanto al registro que dio lugar a la disminución en la partida del gasto 3501 denominada “Mantenimiento y Conservación de Mobiliario y Equipo” por $ 7,512.</w:t>
            </w:r>
          </w:p>
        </w:tc>
        <w:tc>
          <w:tcPr>
            <w:tcW w:w="3133" w:type="dxa"/>
          </w:tcPr>
          <w:p w:rsidR="00865255" w:rsidRPr="00443483" w:rsidRDefault="00865255" w:rsidP="00865255">
            <w:pPr>
              <w:jc w:val="both"/>
              <w:rPr>
                <w:rFonts w:ascii="Arial Narrow" w:hAnsi="Arial Narrow" w:cs="Arial"/>
              </w:rPr>
            </w:pPr>
            <w:r w:rsidRPr="00443483">
              <w:rPr>
                <w:rFonts w:ascii="Arial Narrow" w:hAnsi="Arial Narrow" w:cs="Arial"/>
              </w:rPr>
              <w:t>Efectivamente, esta disminución no se mencionó en el formato EVTOP-04, la cual fue originada debido a que por instrucciones de la Secretaría de Hacienda, no se debería de generar gastos dentro del Capítulo 5000… Viéndose esta Institución en la necesidad de adquirir mobiliario para poner en funcionamiento algunas áreas, se hizo la compra y por instrucciones verbales de la Subsecretaría de Egresos, dicho gasto se cargó a la cuenta 3501 “Mantenimiento y Conservación de Mobiliario y Equipo”, lo cual posteriormente tuvo que ser modificado y corregido mandándose al gasto correspondiente dentro del capítulo 5000, según PD-14 de fecha 20/05/10 (anexo), solicitándose previamente ante la Secretaría de Hacienda la adecuación de partidas correspondiente, mediante oficio anexo No. ISJ/DG/0243-2010 de fecha 06/05/10, lo cual fue autorizado por dicha Secretaría, mediante oficio 05.06/1038/2010.</w:t>
            </w:r>
          </w:p>
          <w:p w:rsidR="00865255" w:rsidRPr="00443483" w:rsidRDefault="00865255" w:rsidP="00865255">
            <w:pPr>
              <w:jc w:val="both"/>
              <w:rPr>
                <w:rFonts w:ascii="Arial Narrow" w:hAnsi="Arial Narrow" w:cs="Arial"/>
              </w:rPr>
            </w:pPr>
          </w:p>
          <w:p w:rsidR="00865255" w:rsidRPr="00443483" w:rsidRDefault="00865255" w:rsidP="00865255">
            <w:pPr>
              <w:jc w:val="both"/>
              <w:rPr>
                <w:rFonts w:ascii="Arial Narrow" w:hAnsi="Arial Narrow" w:cs="Arial"/>
              </w:rPr>
            </w:pPr>
            <w:r w:rsidRPr="00443483">
              <w:rPr>
                <w:rFonts w:ascii="Arial Narrow" w:hAnsi="Arial Narrow" w:cs="Arial"/>
              </w:rPr>
              <w:t>El gasto fue realizado durante el primer trimestre en la partida 3501, y fue cancelado para ser enviado al Capítulo 5000 durante el segundo trimestre,  lo que originó la disminución mencionada.</w:t>
            </w:r>
          </w:p>
          <w:p w:rsidR="00865255" w:rsidRPr="00443483" w:rsidRDefault="00865255" w:rsidP="00865255">
            <w:pPr>
              <w:jc w:val="both"/>
              <w:rPr>
                <w:rFonts w:ascii="Arial Narrow" w:hAnsi="Arial Narrow" w:cs="Arial"/>
                <w:sz w:val="20"/>
                <w:szCs w:val="20"/>
              </w:rPr>
            </w:pPr>
          </w:p>
        </w:tc>
        <w:tc>
          <w:tcPr>
            <w:tcW w:w="3307" w:type="dxa"/>
          </w:tcPr>
          <w:p w:rsidR="00865255" w:rsidRPr="00443483" w:rsidRDefault="00865255" w:rsidP="00865255">
            <w:pPr>
              <w:jc w:val="both"/>
              <w:rPr>
                <w:rFonts w:ascii="Arial Narrow" w:hAnsi="Arial Narrow" w:cs="Arial"/>
              </w:rPr>
            </w:pPr>
            <w:r w:rsidRPr="00443483">
              <w:rPr>
                <w:rFonts w:ascii="Arial Narrow" w:hAnsi="Arial Narrow" w:cs="Arial"/>
              </w:rPr>
              <w:lastRenderedPageBreak/>
              <w:t>Todo lo anteriormente justificado se hizo por asesoría de la Subsecretaría de Egresos.</w:t>
            </w:r>
          </w:p>
          <w:p w:rsidR="00865255" w:rsidRPr="00443483" w:rsidRDefault="00865255" w:rsidP="00865255">
            <w:pPr>
              <w:jc w:val="both"/>
              <w:rPr>
                <w:rFonts w:ascii="Arial Narrow" w:hAnsi="Arial Narrow" w:cs="Arial"/>
              </w:rPr>
            </w:pPr>
          </w:p>
          <w:p w:rsidR="00865255" w:rsidRPr="00443483" w:rsidRDefault="00865255" w:rsidP="00865255">
            <w:pPr>
              <w:jc w:val="both"/>
              <w:rPr>
                <w:rFonts w:ascii="Arial Narrow" w:hAnsi="Arial Narrow" w:cs="Arial"/>
              </w:rPr>
            </w:pPr>
            <w:r w:rsidRPr="00443483">
              <w:rPr>
                <w:rFonts w:ascii="Arial Narrow" w:hAnsi="Arial Narrow" w:cs="Arial"/>
              </w:rPr>
              <w:t>Se anexa</w:t>
            </w:r>
            <w:r w:rsidR="006717C6" w:rsidRPr="00443483">
              <w:rPr>
                <w:rFonts w:ascii="Arial Narrow" w:hAnsi="Arial Narrow" w:cs="Arial"/>
              </w:rPr>
              <w:t xml:space="preserve"> en el </w:t>
            </w:r>
            <w:r w:rsidR="006717C6" w:rsidRPr="00443483">
              <w:rPr>
                <w:rFonts w:ascii="Arial Narrow" w:hAnsi="Arial Narrow" w:cs="Arial"/>
                <w:b/>
              </w:rPr>
              <w:t xml:space="preserve">apartado # </w:t>
            </w:r>
            <w:r w:rsidR="00D41260" w:rsidRPr="00443483">
              <w:rPr>
                <w:rFonts w:ascii="Arial Narrow" w:hAnsi="Arial Narrow" w:cs="Arial"/>
                <w:b/>
              </w:rPr>
              <w:t>8</w:t>
            </w:r>
            <w:r w:rsidRPr="00443483">
              <w:rPr>
                <w:rFonts w:ascii="Arial Narrow" w:hAnsi="Arial Narrow" w:cs="Arial"/>
              </w:rPr>
              <w:t xml:space="preserve"> documentación comprobatoria.</w:t>
            </w:r>
            <w:r w:rsidR="00443483">
              <w:rPr>
                <w:rFonts w:ascii="Arial Narrow" w:hAnsi="Arial Narrow" w:cs="Arial"/>
              </w:rPr>
              <w:t xml:space="preserve"> Así como las medidas para prevenir este tipo de observaciones.</w:t>
            </w:r>
          </w:p>
          <w:p w:rsidR="00865255" w:rsidRPr="00443483" w:rsidRDefault="00865255" w:rsidP="00865255">
            <w:pPr>
              <w:jc w:val="both"/>
              <w:rPr>
                <w:rFonts w:ascii="Arial Narrow" w:hAnsi="Arial Narrow" w:cs="Arial"/>
              </w:rPr>
            </w:pPr>
          </w:p>
          <w:p w:rsidR="00865255" w:rsidRPr="00443483" w:rsidRDefault="00865255" w:rsidP="00865255">
            <w:pPr>
              <w:jc w:val="both"/>
              <w:rPr>
                <w:rFonts w:ascii="Arial Narrow" w:hAnsi="Arial Narrow" w:cs="Arial"/>
                <w:sz w:val="20"/>
                <w:szCs w:val="20"/>
              </w:rPr>
            </w:pPr>
          </w:p>
        </w:tc>
      </w:tr>
    </w:tbl>
    <w:p w:rsidR="00DF3E7F" w:rsidRPr="00D855E0" w:rsidRDefault="00623FAF" w:rsidP="00623FAF">
      <w:pPr>
        <w:pStyle w:val="Prrafodelista"/>
        <w:numPr>
          <w:ilvl w:val="0"/>
          <w:numId w:val="2"/>
        </w:numPr>
        <w:jc w:val="both"/>
        <w:rPr>
          <w:rFonts w:ascii="Arial Narrow" w:hAnsi="Arial Narrow" w:cs="Arial"/>
          <w:b/>
        </w:rPr>
      </w:pPr>
      <w:r w:rsidRPr="00D855E0">
        <w:rPr>
          <w:rFonts w:ascii="Arial Narrow" w:hAnsi="Arial Narrow" w:cs="Arial"/>
          <w:b/>
        </w:rPr>
        <w:lastRenderedPageBreak/>
        <w:t>En el informe relativo al segundo trimestre de 2010, la información  que se presenta difiere con la establecida en la guía para la elaboración de los informes trimestrales 2010, toda vez que en el formato EVTOP-03 denominado “Informe de Avance Programático” no se requisito la información correspondiente a la columna de metas modificado (programa modificado anual).</w:t>
      </w:r>
    </w:p>
    <w:p w:rsidR="00DF3E7F" w:rsidRPr="00D855E0" w:rsidRDefault="00DF3E7F" w:rsidP="00DF3E7F">
      <w:pPr>
        <w:jc w:val="both"/>
        <w:rPr>
          <w:rFonts w:ascii="Arial Narrow" w:hAnsi="Arial Narrow" w:cs="Arial"/>
        </w:rPr>
      </w:pPr>
    </w:p>
    <w:tbl>
      <w:tblPr>
        <w:tblpPr w:leftFromText="141" w:rightFromText="141" w:vertAnchor="text" w:horzAnchor="margin" w:tblpXSpec="center" w:tblpY="38"/>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3156"/>
        <w:gridCol w:w="3156"/>
        <w:gridCol w:w="3331"/>
      </w:tblGrid>
      <w:tr w:rsidR="00623FAF" w:rsidRPr="00D855E0" w:rsidTr="00623FAF">
        <w:trPr>
          <w:trHeight w:val="747"/>
        </w:trPr>
        <w:tc>
          <w:tcPr>
            <w:tcW w:w="526" w:type="dxa"/>
            <w:shd w:val="clear" w:color="auto" w:fill="CCCCCC"/>
            <w:vAlign w:val="center"/>
          </w:tcPr>
          <w:p w:rsidR="00623FAF" w:rsidRPr="00D855E0" w:rsidRDefault="00623FAF" w:rsidP="00623FAF">
            <w:pPr>
              <w:jc w:val="center"/>
              <w:rPr>
                <w:rFonts w:ascii="Arial Narrow" w:hAnsi="Arial Narrow" w:cs="Arial"/>
                <w:b/>
                <w:sz w:val="20"/>
                <w:szCs w:val="20"/>
              </w:rPr>
            </w:pPr>
            <w:r w:rsidRPr="00D855E0">
              <w:rPr>
                <w:rFonts w:ascii="Arial Narrow" w:hAnsi="Arial Narrow" w:cs="Arial"/>
                <w:b/>
                <w:sz w:val="20"/>
                <w:szCs w:val="20"/>
              </w:rPr>
              <w:t>No.</w:t>
            </w:r>
          </w:p>
        </w:tc>
        <w:tc>
          <w:tcPr>
            <w:tcW w:w="3156" w:type="dxa"/>
            <w:shd w:val="clear" w:color="auto" w:fill="CCCCCC"/>
            <w:vAlign w:val="center"/>
          </w:tcPr>
          <w:p w:rsidR="00623FAF" w:rsidRPr="00D855E0" w:rsidRDefault="00623FAF" w:rsidP="00623FAF">
            <w:pPr>
              <w:jc w:val="center"/>
              <w:rPr>
                <w:rFonts w:ascii="Arial Narrow" w:hAnsi="Arial Narrow" w:cs="Arial"/>
                <w:b/>
                <w:sz w:val="20"/>
                <w:szCs w:val="20"/>
              </w:rPr>
            </w:pPr>
            <w:r w:rsidRPr="00D855E0">
              <w:rPr>
                <w:rFonts w:ascii="Arial Narrow" w:hAnsi="Arial Narrow" w:cs="Arial"/>
                <w:b/>
                <w:sz w:val="20"/>
                <w:szCs w:val="20"/>
              </w:rPr>
              <w:t>OBSERVACIÓN</w:t>
            </w:r>
          </w:p>
        </w:tc>
        <w:tc>
          <w:tcPr>
            <w:tcW w:w="3156" w:type="dxa"/>
            <w:shd w:val="clear" w:color="auto" w:fill="CCCCCC"/>
          </w:tcPr>
          <w:p w:rsidR="00623FAF" w:rsidRPr="00D855E0" w:rsidRDefault="00623FAF" w:rsidP="00623FAF">
            <w:pPr>
              <w:jc w:val="center"/>
              <w:rPr>
                <w:rFonts w:ascii="Arial Narrow" w:hAnsi="Arial Narrow" w:cs="Arial"/>
                <w:b/>
                <w:sz w:val="20"/>
                <w:szCs w:val="20"/>
              </w:rPr>
            </w:pPr>
          </w:p>
          <w:p w:rsidR="00623FAF" w:rsidRPr="00D855E0" w:rsidRDefault="00623FAF" w:rsidP="00623FAF">
            <w:pPr>
              <w:jc w:val="center"/>
              <w:rPr>
                <w:rFonts w:ascii="Arial Narrow" w:hAnsi="Arial Narrow" w:cs="Arial"/>
                <w:b/>
                <w:sz w:val="20"/>
                <w:szCs w:val="20"/>
              </w:rPr>
            </w:pPr>
            <w:r w:rsidRPr="00D855E0">
              <w:rPr>
                <w:rFonts w:ascii="Arial Narrow" w:hAnsi="Arial Narrow" w:cs="Arial"/>
                <w:b/>
                <w:sz w:val="20"/>
                <w:szCs w:val="20"/>
              </w:rPr>
              <w:t>JUSTIFICACIÓN</w:t>
            </w:r>
          </w:p>
          <w:p w:rsidR="00623FAF" w:rsidRPr="00D855E0" w:rsidRDefault="00623FAF" w:rsidP="00623FAF">
            <w:pPr>
              <w:rPr>
                <w:rFonts w:ascii="Arial Narrow" w:hAnsi="Arial Narrow" w:cs="Arial"/>
                <w:b/>
                <w:sz w:val="20"/>
                <w:szCs w:val="20"/>
              </w:rPr>
            </w:pPr>
          </w:p>
        </w:tc>
        <w:tc>
          <w:tcPr>
            <w:tcW w:w="3331" w:type="dxa"/>
            <w:shd w:val="clear" w:color="auto" w:fill="CCCCCC"/>
            <w:vAlign w:val="center"/>
          </w:tcPr>
          <w:p w:rsidR="00623FAF" w:rsidRPr="00D855E0" w:rsidRDefault="00623FAF" w:rsidP="00623FAF">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623FAF" w:rsidRPr="00D855E0" w:rsidTr="00623FAF">
        <w:trPr>
          <w:trHeight w:val="237"/>
        </w:trPr>
        <w:tc>
          <w:tcPr>
            <w:tcW w:w="526" w:type="dxa"/>
            <w:vAlign w:val="center"/>
          </w:tcPr>
          <w:p w:rsidR="00623FAF" w:rsidRPr="00D855E0" w:rsidRDefault="00623FAF" w:rsidP="00623FAF">
            <w:pPr>
              <w:spacing w:line="240" w:lineRule="exact"/>
              <w:jc w:val="center"/>
              <w:rPr>
                <w:rFonts w:ascii="Arial Narrow" w:hAnsi="Arial Narrow" w:cs="Arial"/>
                <w:sz w:val="20"/>
                <w:szCs w:val="20"/>
              </w:rPr>
            </w:pPr>
          </w:p>
          <w:p w:rsidR="00623FAF" w:rsidRPr="00D855E0" w:rsidRDefault="00623FAF" w:rsidP="00623FAF">
            <w:pPr>
              <w:spacing w:line="240" w:lineRule="exact"/>
              <w:jc w:val="center"/>
              <w:rPr>
                <w:rFonts w:ascii="Arial Narrow" w:hAnsi="Arial Narrow" w:cs="Arial"/>
                <w:sz w:val="20"/>
                <w:szCs w:val="20"/>
              </w:rPr>
            </w:pPr>
            <w:r w:rsidRPr="00D855E0">
              <w:rPr>
                <w:rFonts w:ascii="Arial Narrow" w:hAnsi="Arial Narrow" w:cs="Arial"/>
                <w:sz w:val="20"/>
                <w:szCs w:val="20"/>
              </w:rPr>
              <w:t>11</w:t>
            </w:r>
          </w:p>
        </w:tc>
        <w:tc>
          <w:tcPr>
            <w:tcW w:w="3156" w:type="dxa"/>
          </w:tcPr>
          <w:p w:rsidR="00623FAF" w:rsidRPr="00D855E0" w:rsidRDefault="00623FAF" w:rsidP="00623FAF">
            <w:pPr>
              <w:jc w:val="both"/>
              <w:rPr>
                <w:rFonts w:ascii="Arial Narrow" w:hAnsi="Arial Narrow" w:cs="Arial"/>
              </w:rPr>
            </w:pPr>
            <w:r w:rsidRPr="00D855E0">
              <w:rPr>
                <w:rFonts w:ascii="Arial Narrow" w:hAnsi="Arial Narrow" w:cs="Arial"/>
              </w:rPr>
              <w:t>En el informe relativo al segundo trimestre de 2010, la información  que se presenta difiere con la establecida en la guía para la elaboración de los informes trimestrales 2010, toda vez que en el formato EVTOP-03 denominado “Informe de Avance Programático” no se requisito la información correspondiente a la columna de metas modificado (programa modificado anual).</w:t>
            </w:r>
          </w:p>
          <w:p w:rsidR="00623FAF" w:rsidRPr="00D855E0" w:rsidRDefault="00623FAF" w:rsidP="00623FAF">
            <w:pPr>
              <w:jc w:val="both"/>
              <w:rPr>
                <w:rFonts w:ascii="Arial Narrow" w:hAnsi="Arial Narrow" w:cs="Arial"/>
                <w:sz w:val="20"/>
                <w:szCs w:val="20"/>
              </w:rPr>
            </w:pPr>
          </w:p>
        </w:tc>
        <w:tc>
          <w:tcPr>
            <w:tcW w:w="3156" w:type="dxa"/>
          </w:tcPr>
          <w:p w:rsidR="00107778" w:rsidRPr="00443483" w:rsidRDefault="00107778" w:rsidP="00623FAF">
            <w:pPr>
              <w:jc w:val="both"/>
              <w:rPr>
                <w:rFonts w:ascii="Arial Narrow" w:hAnsi="Arial Narrow" w:cs="Arial"/>
              </w:rPr>
            </w:pPr>
            <w:r w:rsidRPr="00443483">
              <w:rPr>
                <w:rFonts w:ascii="Arial Narrow" w:hAnsi="Arial Narrow" w:cs="Arial"/>
              </w:rPr>
              <w:t xml:space="preserve">Efectivamente, al momento de la revisión el órgano auditor se percato </w:t>
            </w:r>
            <w:r w:rsidR="001130F8" w:rsidRPr="00443483">
              <w:rPr>
                <w:rFonts w:ascii="Arial Narrow" w:hAnsi="Arial Narrow" w:cs="Arial"/>
              </w:rPr>
              <w:t xml:space="preserve">de que la información que presenta el formato EVTOP-03 difiere en las columnas  de las metas, y esto es porque se desconocía lo que establecía la guía en el llenado. </w:t>
            </w:r>
          </w:p>
          <w:p w:rsidR="001130F8" w:rsidRPr="00443483" w:rsidRDefault="001130F8" w:rsidP="00623FAF">
            <w:pPr>
              <w:jc w:val="both"/>
              <w:rPr>
                <w:rFonts w:ascii="Arial Narrow" w:hAnsi="Arial Narrow" w:cs="Arial"/>
              </w:rPr>
            </w:pPr>
          </w:p>
          <w:p w:rsidR="00623FAF" w:rsidRPr="00443483" w:rsidRDefault="00623FAF" w:rsidP="00623FAF">
            <w:pPr>
              <w:jc w:val="both"/>
              <w:rPr>
                <w:rFonts w:ascii="Arial Narrow" w:hAnsi="Arial Narrow" w:cs="Arial"/>
              </w:rPr>
            </w:pPr>
          </w:p>
        </w:tc>
        <w:tc>
          <w:tcPr>
            <w:tcW w:w="3331" w:type="dxa"/>
          </w:tcPr>
          <w:p w:rsidR="001130F8" w:rsidRPr="00443483" w:rsidRDefault="001130F8" w:rsidP="00623FAF">
            <w:pPr>
              <w:jc w:val="both"/>
              <w:rPr>
                <w:rFonts w:ascii="Arial Narrow" w:hAnsi="Arial Narrow" w:cs="Arial"/>
              </w:rPr>
            </w:pPr>
            <w:r w:rsidRPr="00443483">
              <w:rPr>
                <w:rFonts w:ascii="Arial Narrow" w:hAnsi="Arial Narrow" w:cs="Arial"/>
              </w:rPr>
              <w:t>Se han tomado las medidas correspondientes para prevenir este tipo de observaciones, además ya se cuenta con la guía para la elaboración de los informes trimestrales 2010. Donde efectivamente explica que dentro de</w:t>
            </w:r>
            <w:r w:rsidR="00F40CA1" w:rsidRPr="00443483">
              <w:rPr>
                <w:rFonts w:ascii="Arial Narrow" w:hAnsi="Arial Narrow" w:cs="Arial"/>
              </w:rPr>
              <w:t xml:space="preserve"> lo programado modificado anual</w:t>
            </w:r>
            <w:r w:rsidRPr="00443483">
              <w:rPr>
                <w:rFonts w:ascii="Arial Narrow" w:hAnsi="Arial Narrow" w:cs="Arial"/>
              </w:rPr>
              <w:t xml:space="preserve">, en caso de no haber sufrido </w:t>
            </w:r>
            <w:r w:rsidR="00F40CA1" w:rsidRPr="00443483">
              <w:rPr>
                <w:rFonts w:ascii="Arial Narrow" w:hAnsi="Arial Narrow" w:cs="Arial"/>
              </w:rPr>
              <w:t xml:space="preserve">modificación, se trasladara a esta columna el </w:t>
            </w:r>
            <w:r w:rsidR="00443483" w:rsidRPr="00443483">
              <w:rPr>
                <w:rFonts w:ascii="Arial Narrow" w:hAnsi="Arial Narrow" w:cs="Arial"/>
              </w:rPr>
              <w:t>número</w:t>
            </w:r>
            <w:r w:rsidR="00F40CA1" w:rsidRPr="00443483">
              <w:rPr>
                <w:rFonts w:ascii="Arial Narrow" w:hAnsi="Arial Narrow" w:cs="Arial"/>
              </w:rPr>
              <w:t xml:space="preserve"> considerado como original.</w:t>
            </w:r>
          </w:p>
          <w:p w:rsidR="00623FAF" w:rsidRPr="00443483" w:rsidRDefault="00F40CA1" w:rsidP="00F40CA1">
            <w:pPr>
              <w:jc w:val="both"/>
              <w:rPr>
                <w:rFonts w:ascii="Arial Narrow" w:hAnsi="Arial Narrow" w:cs="Arial"/>
              </w:rPr>
            </w:pPr>
            <w:r w:rsidRPr="00443483">
              <w:rPr>
                <w:rFonts w:ascii="Arial Narrow" w:hAnsi="Arial Narrow" w:cs="Arial"/>
              </w:rPr>
              <w:t xml:space="preserve">Según </w:t>
            </w:r>
            <w:r w:rsidR="00D41260" w:rsidRPr="00443483">
              <w:rPr>
                <w:rFonts w:ascii="Arial Narrow" w:hAnsi="Arial Narrow" w:cs="Arial"/>
                <w:b/>
              </w:rPr>
              <w:t>A</w:t>
            </w:r>
            <w:r w:rsidRPr="00443483">
              <w:rPr>
                <w:rFonts w:ascii="Arial Narrow" w:hAnsi="Arial Narrow" w:cs="Arial"/>
                <w:b/>
              </w:rPr>
              <w:t xml:space="preserve">nexo  # </w:t>
            </w:r>
            <w:r w:rsidR="00D41260" w:rsidRPr="00443483">
              <w:rPr>
                <w:rFonts w:ascii="Arial Narrow" w:hAnsi="Arial Narrow" w:cs="Arial"/>
                <w:b/>
              </w:rPr>
              <w:t>9</w:t>
            </w:r>
            <w:r w:rsidRPr="00443483">
              <w:rPr>
                <w:rFonts w:ascii="Arial Narrow" w:hAnsi="Arial Narrow" w:cs="Arial"/>
                <w:b/>
              </w:rPr>
              <w:t xml:space="preserve">, </w:t>
            </w:r>
            <w:r w:rsidRPr="00443483">
              <w:rPr>
                <w:rFonts w:ascii="Arial Narrow" w:hAnsi="Arial Narrow" w:cs="Arial"/>
              </w:rPr>
              <w:t xml:space="preserve">se adjunta copia del oficio enviado a la dirección correspondiente encargada de la elaboración y llenado de los formatos de los informes trimestrales, así como de parte de la guía para la elaboración </w:t>
            </w:r>
            <w:r w:rsidR="00443483">
              <w:rPr>
                <w:rFonts w:ascii="Arial Narrow" w:hAnsi="Arial Narrow" w:cs="Arial"/>
              </w:rPr>
              <w:t>de estos informes, y oficio para prevenir este tipo de observaciones.</w:t>
            </w:r>
          </w:p>
        </w:tc>
      </w:tr>
    </w:tbl>
    <w:p w:rsidR="00DF3E7F" w:rsidRPr="00D855E0" w:rsidRDefault="00DF3E7F">
      <w:pPr>
        <w:rPr>
          <w:rFonts w:ascii="Arial Narrow" w:hAnsi="Arial Narrow"/>
        </w:rPr>
      </w:pPr>
    </w:p>
    <w:p w:rsidR="00623FAF" w:rsidRPr="00D855E0" w:rsidRDefault="00623FAF">
      <w:pPr>
        <w:rPr>
          <w:rFonts w:ascii="Arial Narrow" w:hAnsi="Arial Narrow"/>
        </w:rPr>
      </w:pPr>
    </w:p>
    <w:p w:rsidR="00D855E0" w:rsidRPr="00D855E0" w:rsidRDefault="00D855E0">
      <w:pPr>
        <w:rPr>
          <w:rFonts w:ascii="Arial Narrow" w:hAnsi="Arial Narrow"/>
        </w:rPr>
      </w:pPr>
    </w:p>
    <w:p w:rsidR="00D855E0" w:rsidRPr="00D855E0" w:rsidRDefault="00D855E0">
      <w:pPr>
        <w:rPr>
          <w:rFonts w:ascii="Arial Narrow" w:hAnsi="Arial Narrow"/>
        </w:rPr>
      </w:pPr>
    </w:p>
    <w:p w:rsidR="00D855E0" w:rsidRPr="00D855E0" w:rsidRDefault="00D855E0">
      <w:pPr>
        <w:rPr>
          <w:rFonts w:ascii="Arial Narrow" w:hAnsi="Arial Narrow"/>
        </w:rPr>
      </w:pPr>
    </w:p>
    <w:p w:rsidR="00D855E0" w:rsidRPr="00D855E0" w:rsidRDefault="00D855E0">
      <w:pPr>
        <w:rPr>
          <w:rFonts w:ascii="Arial Narrow" w:hAnsi="Arial Narrow"/>
        </w:rPr>
      </w:pPr>
    </w:p>
    <w:p w:rsidR="00D855E0" w:rsidRPr="00D855E0" w:rsidRDefault="00D855E0">
      <w:pPr>
        <w:rPr>
          <w:rFonts w:ascii="Arial Narrow" w:hAnsi="Arial Narrow"/>
        </w:rPr>
      </w:pPr>
    </w:p>
    <w:p w:rsidR="00D855E0" w:rsidRPr="00D855E0" w:rsidRDefault="00D855E0">
      <w:pPr>
        <w:rPr>
          <w:rFonts w:ascii="Arial Narrow" w:hAnsi="Arial Narrow"/>
        </w:rPr>
      </w:pPr>
    </w:p>
    <w:p w:rsidR="00D855E0" w:rsidRPr="00D855E0" w:rsidRDefault="00D855E0">
      <w:pPr>
        <w:rPr>
          <w:rFonts w:ascii="Arial Narrow" w:hAnsi="Arial Narrow"/>
        </w:rPr>
      </w:pPr>
    </w:p>
    <w:p w:rsidR="00D855E0" w:rsidRDefault="00D855E0">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8306ED" w:rsidRDefault="008306ED">
      <w:pPr>
        <w:rPr>
          <w:rFonts w:ascii="Arial Narrow" w:hAnsi="Arial Narrow"/>
        </w:rPr>
      </w:pPr>
    </w:p>
    <w:p w:rsidR="00623FAF" w:rsidRPr="00D855E0" w:rsidRDefault="00623FAF" w:rsidP="00623FAF">
      <w:pPr>
        <w:pStyle w:val="Prrafodelista"/>
        <w:numPr>
          <w:ilvl w:val="0"/>
          <w:numId w:val="2"/>
        </w:numPr>
        <w:jc w:val="both"/>
        <w:rPr>
          <w:rFonts w:ascii="Arial Narrow" w:hAnsi="Arial Narrow" w:cs="Arial"/>
          <w:b/>
        </w:rPr>
      </w:pPr>
      <w:r w:rsidRPr="00D855E0">
        <w:rPr>
          <w:rFonts w:ascii="Arial Narrow" w:hAnsi="Arial Narrow" w:cs="Arial"/>
          <w:b/>
        </w:rPr>
        <w:t xml:space="preserve">  Al analizar el renglón de “saldo inicial (Caja y Bancos)” reflejado en el formato EVTOP-01 denominado “Seguimiento Financiero de Ingresos y Egresos de Organismos y Entidades de la Administración Pública” de los informes relativos al primero y segundo trimestre del 2010, se determino que los remanentes del mes anterior (</w:t>
      </w:r>
      <w:r w:rsidR="00466770" w:rsidRPr="00D855E0">
        <w:rPr>
          <w:rFonts w:ascii="Arial Narrow" w:hAnsi="Arial Narrow" w:cs="Arial"/>
          <w:b/>
        </w:rPr>
        <w:t>Variación</w:t>
      </w:r>
      <w:r w:rsidRPr="00D855E0">
        <w:rPr>
          <w:rFonts w:ascii="Arial Narrow" w:hAnsi="Arial Narrow" w:cs="Arial"/>
          <w:b/>
        </w:rPr>
        <w:t xml:space="preserve"> Ingreso-Gasto) no coinciden con el “saldo inicial (caja y Bancos)” del mes posterior, debido a que este ultimo considera únicamente el importe total de los movimientos contables, determinando que el egreso global que se presenta en el citado formato, incluye la totalid</w:t>
      </w:r>
      <w:r w:rsidR="00466770" w:rsidRPr="00D855E0">
        <w:rPr>
          <w:rFonts w:ascii="Arial Narrow" w:hAnsi="Arial Narrow" w:cs="Arial"/>
          <w:b/>
        </w:rPr>
        <w:t>ad de los egresos que afectaron presupuesto, independientemente de si estos fueron pagados o no, o en su caso, existen partidas que no han sido impactadas en el gasto, tal como se aprecia a continuación.</w:t>
      </w:r>
    </w:p>
    <w:tbl>
      <w:tblPr>
        <w:tblStyle w:val="Tablaconcuadrcula"/>
        <w:tblpPr w:leftFromText="141" w:rightFromText="141" w:vertAnchor="text" w:horzAnchor="margin" w:tblpXSpec="center" w:tblpY="28"/>
        <w:tblW w:w="7449" w:type="dxa"/>
        <w:tblLook w:val="04A0"/>
      </w:tblPr>
      <w:tblGrid>
        <w:gridCol w:w="1560"/>
        <w:gridCol w:w="992"/>
        <w:gridCol w:w="993"/>
        <w:gridCol w:w="992"/>
        <w:gridCol w:w="928"/>
        <w:gridCol w:w="1056"/>
        <w:gridCol w:w="928"/>
      </w:tblGrid>
      <w:tr w:rsidR="00D855E0" w:rsidRPr="00D855E0" w:rsidTr="00D855E0">
        <w:trPr>
          <w:trHeight w:val="315"/>
        </w:trPr>
        <w:tc>
          <w:tcPr>
            <w:tcW w:w="1560"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Concepto</w:t>
            </w:r>
          </w:p>
        </w:tc>
        <w:tc>
          <w:tcPr>
            <w:tcW w:w="992"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Enero</w:t>
            </w:r>
          </w:p>
        </w:tc>
        <w:tc>
          <w:tcPr>
            <w:tcW w:w="993"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Febrero</w:t>
            </w:r>
          </w:p>
        </w:tc>
        <w:tc>
          <w:tcPr>
            <w:tcW w:w="992"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Marzo</w:t>
            </w:r>
          </w:p>
        </w:tc>
        <w:tc>
          <w:tcPr>
            <w:tcW w:w="928"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Abril</w:t>
            </w:r>
          </w:p>
        </w:tc>
        <w:tc>
          <w:tcPr>
            <w:tcW w:w="1056"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Mayo</w:t>
            </w:r>
          </w:p>
        </w:tc>
        <w:tc>
          <w:tcPr>
            <w:tcW w:w="928"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 xml:space="preserve">Junio </w:t>
            </w:r>
          </w:p>
        </w:tc>
      </w:tr>
      <w:tr w:rsidR="00D855E0" w:rsidRPr="00D855E0" w:rsidTr="00D855E0">
        <w:trPr>
          <w:trHeight w:val="461"/>
        </w:trPr>
        <w:tc>
          <w:tcPr>
            <w:tcW w:w="1560"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Saldo Inicial (Caja y Bancos)</w:t>
            </w:r>
          </w:p>
        </w:tc>
        <w:tc>
          <w:tcPr>
            <w:tcW w:w="992"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669,147</w:t>
            </w:r>
          </w:p>
        </w:tc>
        <w:tc>
          <w:tcPr>
            <w:tcW w:w="993"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588,373</w:t>
            </w:r>
          </w:p>
        </w:tc>
        <w:tc>
          <w:tcPr>
            <w:tcW w:w="992"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2,217,523</w:t>
            </w:r>
          </w:p>
        </w:tc>
        <w:tc>
          <w:tcPr>
            <w:tcW w:w="928"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2,217,523</w:t>
            </w:r>
          </w:p>
        </w:tc>
        <w:tc>
          <w:tcPr>
            <w:tcW w:w="1056"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2,020,367</w:t>
            </w:r>
          </w:p>
        </w:tc>
        <w:tc>
          <w:tcPr>
            <w:tcW w:w="928"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4,528,872</w:t>
            </w:r>
          </w:p>
        </w:tc>
      </w:tr>
      <w:tr w:rsidR="00D855E0" w:rsidRPr="00D855E0" w:rsidTr="00D855E0">
        <w:trPr>
          <w:trHeight w:val="297"/>
        </w:trPr>
        <w:tc>
          <w:tcPr>
            <w:tcW w:w="1560"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Ingresos</w:t>
            </w:r>
          </w:p>
        </w:tc>
        <w:tc>
          <w:tcPr>
            <w:tcW w:w="992"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2,437,374</w:t>
            </w:r>
          </w:p>
        </w:tc>
        <w:tc>
          <w:tcPr>
            <w:tcW w:w="993"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1,991,826</w:t>
            </w:r>
          </w:p>
        </w:tc>
        <w:tc>
          <w:tcPr>
            <w:tcW w:w="992"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4,735,255</w:t>
            </w:r>
          </w:p>
        </w:tc>
        <w:tc>
          <w:tcPr>
            <w:tcW w:w="928"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1,342,491</w:t>
            </w:r>
          </w:p>
        </w:tc>
        <w:tc>
          <w:tcPr>
            <w:tcW w:w="1056"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6,773,636</w:t>
            </w:r>
          </w:p>
        </w:tc>
        <w:tc>
          <w:tcPr>
            <w:tcW w:w="928"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2,010,177</w:t>
            </w:r>
          </w:p>
        </w:tc>
      </w:tr>
      <w:tr w:rsidR="00D855E0" w:rsidRPr="00D855E0" w:rsidTr="00D855E0">
        <w:trPr>
          <w:trHeight w:val="315"/>
        </w:trPr>
        <w:tc>
          <w:tcPr>
            <w:tcW w:w="1560"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Total Ingresos</w:t>
            </w:r>
          </w:p>
        </w:tc>
        <w:tc>
          <w:tcPr>
            <w:tcW w:w="992"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3,106,521</w:t>
            </w:r>
          </w:p>
        </w:tc>
        <w:tc>
          <w:tcPr>
            <w:tcW w:w="993"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2,580,199</w:t>
            </w:r>
          </w:p>
        </w:tc>
        <w:tc>
          <w:tcPr>
            <w:tcW w:w="992"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6,952,778</w:t>
            </w:r>
          </w:p>
        </w:tc>
        <w:tc>
          <w:tcPr>
            <w:tcW w:w="928"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3,560,014</w:t>
            </w:r>
          </w:p>
        </w:tc>
        <w:tc>
          <w:tcPr>
            <w:tcW w:w="1056"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8,794,003</w:t>
            </w:r>
          </w:p>
        </w:tc>
        <w:tc>
          <w:tcPr>
            <w:tcW w:w="928"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6,539,049</w:t>
            </w:r>
          </w:p>
        </w:tc>
      </w:tr>
      <w:tr w:rsidR="00D855E0" w:rsidRPr="00D855E0" w:rsidTr="00D855E0">
        <w:trPr>
          <w:trHeight w:val="297"/>
        </w:trPr>
        <w:tc>
          <w:tcPr>
            <w:tcW w:w="1560"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Egresos</w:t>
            </w:r>
          </w:p>
        </w:tc>
        <w:tc>
          <w:tcPr>
            <w:tcW w:w="992"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946,204</w:t>
            </w:r>
          </w:p>
        </w:tc>
        <w:tc>
          <w:tcPr>
            <w:tcW w:w="993"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2,197,532</w:t>
            </w:r>
          </w:p>
        </w:tc>
        <w:tc>
          <w:tcPr>
            <w:tcW w:w="992"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3,172,896</w:t>
            </w:r>
          </w:p>
        </w:tc>
        <w:tc>
          <w:tcPr>
            <w:tcW w:w="928"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1,528,888</w:t>
            </w:r>
          </w:p>
        </w:tc>
        <w:tc>
          <w:tcPr>
            <w:tcW w:w="1056"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4,273,679</w:t>
            </w:r>
          </w:p>
        </w:tc>
        <w:tc>
          <w:tcPr>
            <w:tcW w:w="928" w:type="dxa"/>
          </w:tcPr>
          <w:p w:rsidR="00D855E0" w:rsidRPr="00D855E0" w:rsidRDefault="00D855E0" w:rsidP="00D855E0">
            <w:pPr>
              <w:jc w:val="right"/>
              <w:rPr>
                <w:rFonts w:ascii="Arial Narrow" w:hAnsi="Arial Narrow" w:cs="Arial"/>
                <w:sz w:val="16"/>
                <w:szCs w:val="16"/>
              </w:rPr>
            </w:pPr>
            <w:r w:rsidRPr="00D855E0">
              <w:rPr>
                <w:rFonts w:ascii="Arial Narrow" w:hAnsi="Arial Narrow" w:cs="Arial"/>
                <w:sz w:val="16"/>
                <w:szCs w:val="16"/>
              </w:rPr>
              <w:t>3,012,125</w:t>
            </w:r>
          </w:p>
        </w:tc>
      </w:tr>
      <w:tr w:rsidR="00D855E0" w:rsidRPr="00D855E0" w:rsidTr="00D855E0">
        <w:trPr>
          <w:trHeight w:val="468"/>
        </w:trPr>
        <w:tc>
          <w:tcPr>
            <w:tcW w:w="1560" w:type="dxa"/>
          </w:tcPr>
          <w:p w:rsidR="00D855E0" w:rsidRPr="00D855E0" w:rsidRDefault="00D855E0" w:rsidP="00D855E0">
            <w:pPr>
              <w:rPr>
                <w:rFonts w:ascii="Arial Narrow" w:hAnsi="Arial Narrow" w:cs="Arial"/>
                <w:b/>
                <w:sz w:val="16"/>
                <w:szCs w:val="16"/>
              </w:rPr>
            </w:pPr>
            <w:r w:rsidRPr="00D855E0">
              <w:rPr>
                <w:rFonts w:ascii="Arial Narrow" w:hAnsi="Arial Narrow" w:cs="Arial"/>
                <w:b/>
                <w:sz w:val="16"/>
                <w:szCs w:val="16"/>
              </w:rPr>
              <w:t>Variación (Ingresos-Gastos)</w:t>
            </w:r>
          </w:p>
        </w:tc>
        <w:tc>
          <w:tcPr>
            <w:tcW w:w="992"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2,160,317</w:t>
            </w:r>
          </w:p>
        </w:tc>
        <w:tc>
          <w:tcPr>
            <w:tcW w:w="993"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382,667</w:t>
            </w:r>
          </w:p>
        </w:tc>
        <w:tc>
          <w:tcPr>
            <w:tcW w:w="992"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3,779,882</w:t>
            </w:r>
          </w:p>
        </w:tc>
        <w:tc>
          <w:tcPr>
            <w:tcW w:w="928"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2,031,126</w:t>
            </w:r>
          </w:p>
        </w:tc>
        <w:tc>
          <w:tcPr>
            <w:tcW w:w="1056"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4,520,324</w:t>
            </w:r>
          </w:p>
        </w:tc>
        <w:tc>
          <w:tcPr>
            <w:tcW w:w="928" w:type="dxa"/>
          </w:tcPr>
          <w:p w:rsidR="00D855E0" w:rsidRPr="00D855E0" w:rsidRDefault="00D855E0" w:rsidP="00D855E0">
            <w:pPr>
              <w:jc w:val="right"/>
              <w:rPr>
                <w:rFonts w:ascii="Arial Narrow" w:hAnsi="Arial Narrow" w:cs="Arial"/>
                <w:b/>
                <w:sz w:val="16"/>
                <w:szCs w:val="16"/>
              </w:rPr>
            </w:pPr>
            <w:r w:rsidRPr="00D855E0">
              <w:rPr>
                <w:rFonts w:ascii="Arial Narrow" w:hAnsi="Arial Narrow" w:cs="Arial"/>
                <w:b/>
                <w:sz w:val="16"/>
                <w:szCs w:val="16"/>
              </w:rPr>
              <w:t>3,526,924</w:t>
            </w:r>
          </w:p>
        </w:tc>
      </w:tr>
    </w:tbl>
    <w:p w:rsidR="00DF3E7F" w:rsidRPr="00D855E0" w:rsidRDefault="00DF3E7F">
      <w:pPr>
        <w:rPr>
          <w:rFonts w:ascii="Arial Narrow" w:hAnsi="Arial Narrow"/>
        </w:rPr>
      </w:pPr>
    </w:p>
    <w:tbl>
      <w:tblPr>
        <w:tblpPr w:leftFromText="141" w:rightFromText="141" w:vertAnchor="text" w:horzAnchor="margin" w:tblpY="2366"/>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3161"/>
        <w:gridCol w:w="3161"/>
        <w:gridCol w:w="3336"/>
      </w:tblGrid>
      <w:tr w:rsidR="002A2BB5" w:rsidRPr="00D855E0" w:rsidTr="00D425FE">
        <w:trPr>
          <w:trHeight w:val="727"/>
        </w:trPr>
        <w:tc>
          <w:tcPr>
            <w:tcW w:w="527" w:type="dxa"/>
            <w:shd w:val="clear" w:color="auto" w:fill="CCCCCC"/>
            <w:vAlign w:val="center"/>
          </w:tcPr>
          <w:p w:rsidR="002A2BB5" w:rsidRPr="00D855E0" w:rsidRDefault="002A2BB5" w:rsidP="00D855E0">
            <w:pPr>
              <w:jc w:val="center"/>
              <w:rPr>
                <w:rFonts w:ascii="Arial Narrow" w:hAnsi="Arial Narrow" w:cs="Arial"/>
                <w:b/>
                <w:sz w:val="20"/>
                <w:szCs w:val="20"/>
              </w:rPr>
            </w:pPr>
            <w:r w:rsidRPr="00D855E0">
              <w:rPr>
                <w:rFonts w:ascii="Arial Narrow" w:hAnsi="Arial Narrow" w:cs="Arial"/>
                <w:b/>
                <w:sz w:val="20"/>
                <w:szCs w:val="20"/>
              </w:rPr>
              <w:t>No.</w:t>
            </w:r>
          </w:p>
        </w:tc>
        <w:tc>
          <w:tcPr>
            <w:tcW w:w="3161" w:type="dxa"/>
            <w:shd w:val="clear" w:color="auto" w:fill="CCCCCC"/>
            <w:vAlign w:val="center"/>
          </w:tcPr>
          <w:p w:rsidR="002A2BB5" w:rsidRPr="00D855E0" w:rsidRDefault="002A2BB5" w:rsidP="00D855E0">
            <w:pPr>
              <w:jc w:val="center"/>
              <w:rPr>
                <w:rFonts w:ascii="Arial Narrow" w:hAnsi="Arial Narrow" w:cs="Arial"/>
                <w:b/>
                <w:sz w:val="20"/>
                <w:szCs w:val="20"/>
              </w:rPr>
            </w:pPr>
            <w:r w:rsidRPr="00D855E0">
              <w:rPr>
                <w:rFonts w:ascii="Arial Narrow" w:hAnsi="Arial Narrow" w:cs="Arial"/>
                <w:b/>
                <w:sz w:val="20"/>
                <w:szCs w:val="20"/>
              </w:rPr>
              <w:t>OBSERVACIÓN</w:t>
            </w:r>
          </w:p>
        </w:tc>
        <w:tc>
          <w:tcPr>
            <w:tcW w:w="3161" w:type="dxa"/>
            <w:shd w:val="clear" w:color="auto" w:fill="CCCCCC"/>
          </w:tcPr>
          <w:p w:rsidR="002A2BB5" w:rsidRPr="00D855E0" w:rsidRDefault="002A2BB5" w:rsidP="00D855E0">
            <w:pPr>
              <w:jc w:val="center"/>
              <w:rPr>
                <w:rFonts w:ascii="Arial Narrow" w:hAnsi="Arial Narrow" w:cs="Arial"/>
                <w:b/>
                <w:sz w:val="20"/>
                <w:szCs w:val="20"/>
              </w:rPr>
            </w:pPr>
          </w:p>
          <w:p w:rsidR="002A2BB5" w:rsidRPr="00D855E0" w:rsidRDefault="002A2BB5" w:rsidP="00D855E0">
            <w:pPr>
              <w:jc w:val="center"/>
              <w:rPr>
                <w:rFonts w:ascii="Arial Narrow" w:hAnsi="Arial Narrow" w:cs="Arial"/>
                <w:b/>
                <w:sz w:val="20"/>
                <w:szCs w:val="20"/>
              </w:rPr>
            </w:pPr>
            <w:r w:rsidRPr="00D855E0">
              <w:rPr>
                <w:rFonts w:ascii="Arial Narrow" w:hAnsi="Arial Narrow" w:cs="Arial"/>
                <w:b/>
                <w:sz w:val="20"/>
                <w:szCs w:val="20"/>
              </w:rPr>
              <w:t>JUSTIFICACIÓN</w:t>
            </w:r>
          </w:p>
          <w:p w:rsidR="002A2BB5" w:rsidRPr="00D855E0" w:rsidRDefault="002A2BB5" w:rsidP="00D855E0">
            <w:pPr>
              <w:rPr>
                <w:rFonts w:ascii="Arial Narrow" w:hAnsi="Arial Narrow" w:cs="Arial"/>
                <w:b/>
                <w:sz w:val="20"/>
                <w:szCs w:val="20"/>
              </w:rPr>
            </w:pPr>
          </w:p>
        </w:tc>
        <w:tc>
          <w:tcPr>
            <w:tcW w:w="3336" w:type="dxa"/>
            <w:shd w:val="clear" w:color="auto" w:fill="CCCCCC"/>
            <w:vAlign w:val="center"/>
          </w:tcPr>
          <w:p w:rsidR="002A2BB5" w:rsidRPr="00D855E0" w:rsidRDefault="002A2BB5" w:rsidP="00D855E0">
            <w:pPr>
              <w:jc w:val="center"/>
              <w:rPr>
                <w:rFonts w:ascii="Arial Narrow" w:hAnsi="Arial Narrow" w:cs="Arial"/>
                <w:b/>
                <w:sz w:val="20"/>
                <w:szCs w:val="20"/>
              </w:rPr>
            </w:pPr>
            <w:r w:rsidRPr="00D855E0">
              <w:rPr>
                <w:rFonts w:ascii="Arial Narrow" w:hAnsi="Arial Narrow" w:cs="Arial"/>
                <w:b/>
                <w:sz w:val="20"/>
                <w:szCs w:val="20"/>
              </w:rPr>
              <w:t>SOLVENTACIÓN O MEDIDAS DICTADAS</w:t>
            </w:r>
          </w:p>
        </w:tc>
      </w:tr>
      <w:tr w:rsidR="002A2BB5" w:rsidRPr="00D855E0" w:rsidTr="00D425FE">
        <w:trPr>
          <w:trHeight w:val="231"/>
        </w:trPr>
        <w:tc>
          <w:tcPr>
            <w:tcW w:w="527" w:type="dxa"/>
            <w:vAlign w:val="center"/>
          </w:tcPr>
          <w:p w:rsidR="002A2BB5" w:rsidRPr="00D855E0" w:rsidRDefault="002A2BB5" w:rsidP="00D855E0">
            <w:pPr>
              <w:spacing w:line="240" w:lineRule="exact"/>
              <w:jc w:val="center"/>
              <w:rPr>
                <w:rFonts w:ascii="Arial Narrow" w:hAnsi="Arial Narrow" w:cs="Arial"/>
                <w:sz w:val="20"/>
                <w:szCs w:val="20"/>
              </w:rPr>
            </w:pPr>
            <w:r w:rsidRPr="00D855E0">
              <w:rPr>
                <w:rFonts w:ascii="Arial Narrow" w:hAnsi="Arial Narrow" w:cs="Arial"/>
                <w:sz w:val="20"/>
                <w:szCs w:val="20"/>
              </w:rPr>
              <w:t>12</w:t>
            </w:r>
          </w:p>
        </w:tc>
        <w:tc>
          <w:tcPr>
            <w:tcW w:w="3161" w:type="dxa"/>
          </w:tcPr>
          <w:p w:rsidR="002A2BB5" w:rsidRPr="00D855E0" w:rsidRDefault="002A2BB5" w:rsidP="00D855E0">
            <w:pPr>
              <w:jc w:val="both"/>
              <w:rPr>
                <w:rFonts w:ascii="Arial Narrow" w:hAnsi="Arial Narrow" w:cs="Arial"/>
                <w:sz w:val="20"/>
                <w:szCs w:val="20"/>
              </w:rPr>
            </w:pPr>
            <w:r w:rsidRPr="00D855E0">
              <w:rPr>
                <w:rFonts w:ascii="Arial Narrow" w:hAnsi="Arial Narrow" w:cs="Arial"/>
                <w:sz w:val="20"/>
                <w:szCs w:val="20"/>
              </w:rPr>
              <w:t>Al analizar el renglón de “saldo inicial (Caja y Bancos)” reflejado en el formato EVTOP-01 denominado “Seguimiento Financiero de Ingresos y Egresos de Organismos y Entidades de la Administración Pública” de los informes relativos al primero y segundo trimestre del 2010, se determino que los remanentes del mes anterior (Variación Ingreso-Gasto) no coinciden con el “saldo inicial (caja y Bancos)” del mes posterior, debido a que este ultimo considera únicamente el importe total de los movimientos contables, determinando que el egreso global que se presenta en el citado formato, incluye la totalidad de los egresos que afectaron presupuesto, independientemente de si estos fueron pagados o no, o en su caso, existen partidas que no han sido impactadas en el gasto</w:t>
            </w:r>
          </w:p>
        </w:tc>
        <w:tc>
          <w:tcPr>
            <w:tcW w:w="3161" w:type="dxa"/>
          </w:tcPr>
          <w:p w:rsidR="00D855E0" w:rsidRPr="00443483" w:rsidRDefault="00D855E0" w:rsidP="00D855E0">
            <w:pPr>
              <w:jc w:val="both"/>
              <w:rPr>
                <w:rFonts w:ascii="Arial Narrow" w:hAnsi="Arial Narrow" w:cs="Arial"/>
              </w:rPr>
            </w:pPr>
            <w:r w:rsidRPr="00443483">
              <w:rPr>
                <w:rFonts w:ascii="Arial Narrow" w:hAnsi="Arial Narrow" w:cs="Arial"/>
              </w:rPr>
              <w:t xml:space="preserve">Efectivamente, los remanentes del mes anterior (Variación Ingresos – Gastos) no coinciden con el Saldo inicial (Caja y Bancos) del mes posterior, debido a que en el formato EVTOP-01 proporcionado por la Secretaría de Hacienda, no contempla  renglones para mostrar dicha información. </w:t>
            </w:r>
          </w:p>
          <w:p w:rsidR="00D855E0" w:rsidRPr="00443483" w:rsidRDefault="00D855E0" w:rsidP="00D855E0">
            <w:pPr>
              <w:jc w:val="both"/>
              <w:rPr>
                <w:rFonts w:ascii="Arial Narrow" w:hAnsi="Arial Narrow" w:cs="Arial"/>
              </w:rPr>
            </w:pPr>
          </w:p>
          <w:p w:rsidR="00D855E0" w:rsidRPr="00443483" w:rsidRDefault="00D855E0" w:rsidP="00D855E0">
            <w:pPr>
              <w:jc w:val="both"/>
              <w:rPr>
                <w:rFonts w:ascii="Arial Narrow" w:hAnsi="Arial Narrow" w:cs="Arial"/>
              </w:rPr>
            </w:pPr>
          </w:p>
          <w:p w:rsidR="002A2BB5" w:rsidRPr="00443483" w:rsidRDefault="002A2BB5" w:rsidP="00D855E0">
            <w:pPr>
              <w:jc w:val="both"/>
              <w:rPr>
                <w:rFonts w:ascii="Arial Narrow" w:hAnsi="Arial Narrow" w:cs="Arial"/>
                <w:sz w:val="20"/>
                <w:szCs w:val="20"/>
              </w:rPr>
            </w:pPr>
          </w:p>
        </w:tc>
        <w:tc>
          <w:tcPr>
            <w:tcW w:w="3336" w:type="dxa"/>
          </w:tcPr>
          <w:p w:rsidR="00D855E0" w:rsidRPr="00443483" w:rsidRDefault="00D855E0" w:rsidP="00D855E0">
            <w:pPr>
              <w:jc w:val="both"/>
              <w:rPr>
                <w:rFonts w:ascii="Arial Narrow" w:hAnsi="Arial Narrow" w:cs="Arial"/>
              </w:rPr>
            </w:pPr>
            <w:r w:rsidRPr="00443483">
              <w:rPr>
                <w:rFonts w:ascii="Arial Narrow" w:hAnsi="Arial Narrow" w:cs="Arial"/>
              </w:rPr>
              <w:t>A partir del 2010 se está realizando la conciliación  del flujo de efectivo contra el resultado contable de caja y bancos, por lo que se tendrá otra comparación para el llenado del formato EVTOP-01</w:t>
            </w:r>
          </w:p>
          <w:p w:rsidR="00D855E0" w:rsidRPr="00443483" w:rsidRDefault="00D855E0" w:rsidP="00D855E0">
            <w:pPr>
              <w:jc w:val="both"/>
              <w:rPr>
                <w:rFonts w:ascii="Arial Narrow" w:hAnsi="Arial Narrow" w:cs="Arial"/>
              </w:rPr>
            </w:pPr>
          </w:p>
          <w:p w:rsidR="00D855E0" w:rsidRPr="00443483" w:rsidRDefault="00D855E0" w:rsidP="00D855E0">
            <w:pPr>
              <w:jc w:val="both"/>
              <w:rPr>
                <w:rFonts w:ascii="Arial Narrow" w:hAnsi="Arial Narrow" w:cs="Arial"/>
              </w:rPr>
            </w:pPr>
            <w:r w:rsidRPr="00443483">
              <w:rPr>
                <w:rFonts w:ascii="Arial Narrow" w:hAnsi="Arial Narrow" w:cs="Arial"/>
              </w:rPr>
              <w:t xml:space="preserve">Además de que esta conciliación se anexa a los informes trimestrales enviados a la SH, por lo que se propone que se hagan las modificaciones pertinentes en el formato EVTOP-01 para que dichos saldos observados puedan coincidir. </w:t>
            </w:r>
          </w:p>
          <w:p w:rsidR="00D855E0" w:rsidRPr="00443483" w:rsidRDefault="00D855E0" w:rsidP="00D855E0">
            <w:pPr>
              <w:jc w:val="both"/>
              <w:rPr>
                <w:rFonts w:ascii="Arial Narrow" w:hAnsi="Arial Narrow" w:cs="Arial"/>
              </w:rPr>
            </w:pPr>
            <w:r w:rsidRPr="00443483">
              <w:rPr>
                <w:rFonts w:ascii="Arial Narrow" w:hAnsi="Arial Narrow" w:cs="Arial"/>
              </w:rPr>
              <w:t xml:space="preserve">Según </w:t>
            </w:r>
            <w:r w:rsidRPr="00443483">
              <w:rPr>
                <w:rFonts w:ascii="Arial Narrow" w:hAnsi="Arial Narrow" w:cs="Arial"/>
                <w:b/>
              </w:rPr>
              <w:t xml:space="preserve">anexo # </w:t>
            </w:r>
            <w:r w:rsidR="00D41260" w:rsidRPr="00443483">
              <w:rPr>
                <w:rFonts w:ascii="Arial Narrow" w:hAnsi="Arial Narrow" w:cs="Arial"/>
                <w:b/>
              </w:rPr>
              <w:t>10</w:t>
            </w:r>
            <w:r w:rsidRPr="00443483">
              <w:rPr>
                <w:rFonts w:ascii="Arial Narrow" w:hAnsi="Arial Narrow" w:cs="Arial"/>
                <w:b/>
              </w:rPr>
              <w:t>.</w:t>
            </w:r>
            <w:r w:rsidRPr="00443483">
              <w:rPr>
                <w:rFonts w:ascii="Arial Narrow" w:hAnsi="Arial Narrow" w:cs="Arial"/>
              </w:rPr>
              <w:t xml:space="preserve"> Se muestra la conciliación contable presupuestal para su verificación</w:t>
            </w:r>
            <w:r w:rsidR="00D425FE" w:rsidRPr="00443483">
              <w:rPr>
                <w:rFonts w:ascii="Arial Narrow" w:hAnsi="Arial Narrow" w:cs="Arial"/>
              </w:rPr>
              <w:t xml:space="preserve"> tanto del concentrado general donde se muestran las 4 contabilidades que maneja el ISJ, así como la de Sonora Joven</w:t>
            </w:r>
            <w:r w:rsidRPr="00443483">
              <w:rPr>
                <w:rFonts w:ascii="Arial Narrow" w:hAnsi="Arial Narrow" w:cs="Arial"/>
              </w:rPr>
              <w:t xml:space="preserve">. </w:t>
            </w:r>
          </w:p>
          <w:p w:rsidR="00D855E0" w:rsidRPr="00443483" w:rsidRDefault="00D855E0" w:rsidP="00D855E0">
            <w:pPr>
              <w:jc w:val="both"/>
              <w:rPr>
                <w:rFonts w:ascii="Arial Narrow" w:hAnsi="Arial Narrow" w:cs="Arial"/>
              </w:rPr>
            </w:pPr>
          </w:p>
          <w:p w:rsidR="002A2BB5" w:rsidRPr="00443483" w:rsidRDefault="002A2BB5" w:rsidP="00D855E0">
            <w:pPr>
              <w:jc w:val="both"/>
              <w:rPr>
                <w:rFonts w:ascii="Arial Narrow" w:hAnsi="Arial Narrow" w:cs="Arial"/>
                <w:sz w:val="20"/>
                <w:szCs w:val="20"/>
              </w:rPr>
            </w:pPr>
          </w:p>
        </w:tc>
      </w:tr>
    </w:tbl>
    <w:p w:rsidR="00F52135" w:rsidRPr="00D855E0" w:rsidRDefault="00F52135" w:rsidP="00F52135">
      <w:pPr>
        <w:jc w:val="both"/>
        <w:rPr>
          <w:rFonts w:ascii="Arial Narrow" w:hAnsi="Arial Narrow" w:cs="Arial"/>
        </w:rPr>
      </w:pPr>
    </w:p>
    <w:p w:rsidR="00F52135" w:rsidRPr="00D855E0" w:rsidRDefault="00F52135" w:rsidP="00F52135">
      <w:pPr>
        <w:jc w:val="both"/>
        <w:rPr>
          <w:rFonts w:ascii="Arial Narrow" w:hAnsi="Arial Narrow"/>
        </w:rPr>
      </w:pPr>
    </w:p>
    <w:p w:rsidR="00F52135" w:rsidRPr="00D855E0" w:rsidRDefault="00F52135" w:rsidP="00F52135">
      <w:pPr>
        <w:jc w:val="both"/>
        <w:rPr>
          <w:rFonts w:ascii="Arial Narrow" w:hAnsi="Arial Narrow"/>
        </w:rPr>
      </w:pPr>
    </w:p>
    <w:p w:rsidR="00F52135" w:rsidRPr="00D855E0" w:rsidRDefault="00F52135" w:rsidP="00F52135">
      <w:pPr>
        <w:jc w:val="both"/>
        <w:rPr>
          <w:rFonts w:ascii="Arial Narrow" w:hAnsi="Arial Narrow" w:cs="Arial"/>
        </w:rPr>
      </w:pPr>
    </w:p>
    <w:p w:rsidR="00F52135" w:rsidRPr="00D855E0" w:rsidRDefault="00F52135" w:rsidP="00F52135">
      <w:pPr>
        <w:jc w:val="both"/>
        <w:rPr>
          <w:rFonts w:ascii="Arial Narrow" w:hAnsi="Arial Narrow" w:cs="Arial"/>
        </w:rPr>
      </w:pPr>
    </w:p>
    <w:p w:rsidR="00F52135" w:rsidRPr="00D855E0" w:rsidRDefault="00F52135" w:rsidP="00F52135">
      <w:pPr>
        <w:jc w:val="both"/>
        <w:rPr>
          <w:rFonts w:ascii="Arial Narrow" w:hAnsi="Arial Narrow"/>
        </w:rPr>
      </w:pPr>
    </w:p>
    <w:p w:rsidR="00F52135" w:rsidRPr="00D855E0" w:rsidRDefault="00F52135" w:rsidP="00F52135">
      <w:pPr>
        <w:jc w:val="both"/>
        <w:rPr>
          <w:rFonts w:ascii="Arial Narrow" w:hAnsi="Arial Narrow"/>
        </w:rPr>
      </w:pPr>
    </w:p>
    <w:p w:rsidR="00F52135" w:rsidRPr="00D855E0" w:rsidRDefault="00F52135" w:rsidP="00F52135">
      <w:pPr>
        <w:jc w:val="both"/>
        <w:rPr>
          <w:rFonts w:ascii="Arial Narrow" w:hAnsi="Arial Narrow" w:cs="Arial"/>
        </w:rPr>
      </w:pPr>
    </w:p>
    <w:sectPr w:rsidR="00F52135" w:rsidRPr="00D855E0" w:rsidSect="000D1721">
      <w:pgSz w:w="12240" w:h="15840"/>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9AE"/>
    <w:multiLevelType w:val="hybridMultilevel"/>
    <w:tmpl w:val="1D8E4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87F27"/>
    <w:multiLevelType w:val="hybridMultilevel"/>
    <w:tmpl w:val="56185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6145E8"/>
    <w:multiLevelType w:val="hybridMultilevel"/>
    <w:tmpl w:val="62B8C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1243F3"/>
    <w:multiLevelType w:val="hybridMultilevel"/>
    <w:tmpl w:val="C142A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075CD9"/>
    <w:multiLevelType w:val="hybridMultilevel"/>
    <w:tmpl w:val="1B060F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8E707C"/>
    <w:multiLevelType w:val="hybridMultilevel"/>
    <w:tmpl w:val="E1EE2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4624F4"/>
    <w:multiLevelType w:val="hybridMultilevel"/>
    <w:tmpl w:val="EBCA4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9A7526"/>
    <w:multiLevelType w:val="hybridMultilevel"/>
    <w:tmpl w:val="46D8426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45E4708"/>
    <w:multiLevelType w:val="hybridMultilevel"/>
    <w:tmpl w:val="200E3922"/>
    <w:lvl w:ilvl="0" w:tplc="9FF4BEDC">
      <w:start w:val="1"/>
      <w:numFmt w:val="decimal"/>
      <w:lvlText w:val="%1."/>
      <w:lvlJc w:val="left"/>
      <w:pPr>
        <w:tabs>
          <w:tab w:val="num" w:pos="357"/>
        </w:tabs>
        <w:ind w:left="357" w:hanging="357"/>
      </w:pPr>
      <w:rPr>
        <w:rFonts w:hint="default"/>
        <w:b/>
        <w:sz w:val="24"/>
        <w:szCs w:val="24"/>
      </w:rPr>
    </w:lvl>
    <w:lvl w:ilvl="1" w:tplc="B77EFC2A">
      <w:start w:val="1"/>
      <w:numFmt w:val="lowerLetter"/>
      <w:lvlText w:val="%2)"/>
      <w:lvlJc w:val="left"/>
      <w:pPr>
        <w:tabs>
          <w:tab w:val="num" w:pos="1440"/>
        </w:tabs>
        <w:ind w:left="1440" w:hanging="360"/>
      </w:pPr>
      <w:rPr>
        <w:rFonts w:hint="default"/>
        <w:b/>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8634C4"/>
    <w:multiLevelType w:val="hybridMultilevel"/>
    <w:tmpl w:val="6628A33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4"/>
  </w:num>
  <w:num w:numId="5">
    <w:abstractNumId w:val="2"/>
  </w:num>
  <w:num w:numId="6">
    <w:abstractNumId w:val="3"/>
  </w:num>
  <w:num w:numId="7">
    <w:abstractNumId w:val="0"/>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2135"/>
    <w:rsid w:val="00034F99"/>
    <w:rsid w:val="000567F2"/>
    <w:rsid w:val="00081AA0"/>
    <w:rsid w:val="000D1721"/>
    <w:rsid w:val="00107778"/>
    <w:rsid w:val="001130F8"/>
    <w:rsid w:val="00133C33"/>
    <w:rsid w:val="00157BE0"/>
    <w:rsid w:val="00184BB1"/>
    <w:rsid w:val="001A35A7"/>
    <w:rsid w:val="001E636F"/>
    <w:rsid w:val="00290225"/>
    <w:rsid w:val="00292946"/>
    <w:rsid w:val="002A2BB5"/>
    <w:rsid w:val="002A35FD"/>
    <w:rsid w:val="002A6C73"/>
    <w:rsid w:val="002C3D8A"/>
    <w:rsid w:val="00354C36"/>
    <w:rsid w:val="00357069"/>
    <w:rsid w:val="004078E7"/>
    <w:rsid w:val="00443483"/>
    <w:rsid w:val="00466770"/>
    <w:rsid w:val="00507CD2"/>
    <w:rsid w:val="00513A2A"/>
    <w:rsid w:val="005E06D4"/>
    <w:rsid w:val="005E3FC8"/>
    <w:rsid w:val="00623FAF"/>
    <w:rsid w:val="00625ADB"/>
    <w:rsid w:val="0065624F"/>
    <w:rsid w:val="00660EE9"/>
    <w:rsid w:val="00665D8B"/>
    <w:rsid w:val="006717C6"/>
    <w:rsid w:val="006C70BD"/>
    <w:rsid w:val="006D4639"/>
    <w:rsid w:val="006D4653"/>
    <w:rsid w:val="006F78B4"/>
    <w:rsid w:val="00773154"/>
    <w:rsid w:val="00805AB1"/>
    <w:rsid w:val="00816930"/>
    <w:rsid w:val="008306ED"/>
    <w:rsid w:val="00841EAD"/>
    <w:rsid w:val="00865255"/>
    <w:rsid w:val="008904F5"/>
    <w:rsid w:val="008A427C"/>
    <w:rsid w:val="0095389A"/>
    <w:rsid w:val="009B5F32"/>
    <w:rsid w:val="009D51ED"/>
    <w:rsid w:val="00A16519"/>
    <w:rsid w:val="00B658DB"/>
    <w:rsid w:val="00B85ED9"/>
    <w:rsid w:val="00BE5EE5"/>
    <w:rsid w:val="00C04AC4"/>
    <w:rsid w:val="00C46049"/>
    <w:rsid w:val="00C46B38"/>
    <w:rsid w:val="00C954AC"/>
    <w:rsid w:val="00CC104D"/>
    <w:rsid w:val="00D41260"/>
    <w:rsid w:val="00D425FE"/>
    <w:rsid w:val="00D6539A"/>
    <w:rsid w:val="00D855E0"/>
    <w:rsid w:val="00DF3E7F"/>
    <w:rsid w:val="00E42192"/>
    <w:rsid w:val="00F009F8"/>
    <w:rsid w:val="00F40379"/>
    <w:rsid w:val="00F40CA1"/>
    <w:rsid w:val="00F4499B"/>
    <w:rsid w:val="00F47D8F"/>
    <w:rsid w:val="00F52135"/>
    <w:rsid w:val="00FB2C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F3E7F"/>
    <w:pPr>
      <w:spacing w:before="100" w:beforeAutospacing="1" w:after="100" w:afterAutospacing="1"/>
    </w:pPr>
  </w:style>
  <w:style w:type="paragraph" w:styleId="Prrafodelista">
    <w:name w:val="List Paragraph"/>
    <w:basedOn w:val="Normal"/>
    <w:uiPriority w:val="34"/>
    <w:qFormat/>
    <w:rsid w:val="000567F2"/>
    <w:pPr>
      <w:ind w:left="720"/>
      <w:contextualSpacing/>
    </w:pPr>
  </w:style>
  <w:style w:type="table" w:styleId="Tablaconcuadrcula">
    <w:name w:val="Table Grid"/>
    <w:basedOn w:val="Tablanormal"/>
    <w:uiPriority w:val="59"/>
    <w:rsid w:val="00466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571826">
      <w:bodyDiv w:val="1"/>
      <w:marLeft w:val="0"/>
      <w:marRight w:val="0"/>
      <w:marTop w:val="0"/>
      <w:marBottom w:val="0"/>
      <w:divBdr>
        <w:top w:val="none" w:sz="0" w:space="0" w:color="auto"/>
        <w:left w:val="none" w:sz="0" w:space="0" w:color="auto"/>
        <w:bottom w:val="none" w:sz="0" w:space="0" w:color="auto"/>
        <w:right w:val="none" w:sz="0" w:space="0" w:color="auto"/>
      </w:divBdr>
    </w:div>
    <w:div w:id="379867227">
      <w:bodyDiv w:val="1"/>
      <w:marLeft w:val="0"/>
      <w:marRight w:val="0"/>
      <w:marTop w:val="0"/>
      <w:marBottom w:val="0"/>
      <w:divBdr>
        <w:top w:val="none" w:sz="0" w:space="0" w:color="auto"/>
        <w:left w:val="none" w:sz="0" w:space="0" w:color="auto"/>
        <w:bottom w:val="none" w:sz="0" w:space="0" w:color="auto"/>
        <w:right w:val="none" w:sz="0" w:space="0" w:color="auto"/>
      </w:divBdr>
    </w:div>
    <w:div w:id="1232351590">
      <w:bodyDiv w:val="1"/>
      <w:marLeft w:val="0"/>
      <w:marRight w:val="0"/>
      <w:marTop w:val="0"/>
      <w:marBottom w:val="0"/>
      <w:divBdr>
        <w:top w:val="none" w:sz="0" w:space="0" w:color="auto"/>
        <w:left w:val="none" w:sz="0" w:space="0" w:color="auto"/>
        <w:bottom w:val="none" w:sz="0" w:space="0" w:color="auto"/>
        <w:right w:val="none" w:sz="0" w:space="0" w:color="auto"/>
      </w:divBdr>
    </w:div>
    <w:div w:id="1601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9327-6314-4EA7-951D-AE324502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3904</Words>
  <Characters>21475</Characters>
  <Application>Microsoft Office Word</Application>
  <DocSecurity>4</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  LANIX</cp:lastModifiedBy>
  <cp:revision>2</cp:revision>
  <cp:lastPrinted>2010-12-14T19:52:00Z</cp:lastPrinted>
  <dcterms:created xsi:type="dcterms:W3CDTF">2011-09-22T20:01:00Z</dcterms:created>
  <dcterms:modified xsi:type="dcterms:W3CDTF">2011-09-22T20:01:00Z</dcterms:modified>
</cp:coreProperties>
</file>