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68" w:rsidRPr="00570F57" w:rsidRDefault="00041B68" w:rsidP="00041B68">
      <w:pPr>
        <w:spacing w:after="0"/>
        <w:ind w:left="1276"/>
        <w:jc w:val="right"/>
        <w:rPr>
          <w:rFonts w:ascii="Century Gothic" w:hAnsi="Century Gothic"/>
          <w:color w:val="000000" w:themeColor="text1"/>
          <w:sz w:val="22"/>
          <w:szCs w:val="22"/>
          <w:lang w:val="es-ES_tradnl"/>
        </w:rPr>
      </w:pPr>
      <w:r w:rsidRPr="00570F57">
        <w:rPr>
          <w:rFonts w:ascii="Century Gothic" w:hAnsi="Century Gothic" w:cs="Century Gothic"/>
          <w:color w:val="000000" w:themeColor="text1"/>
          <w:lang w:val="es-ES_tradnl"/>
        </w:rPr>
        <w:tab/>
      </w:r>
      <w:r w:rsidRPr="00570F57">
        <w:rPr>
          <w:rFonts w:ascii="Century Gothic" w:hAnsi="Century Gothic"/>
          <w:color w:val="000000" w:themeColor="text1"/>
          <w:sz w:val="22"/>
          <w:szCs w:val="22"/>
          <w:lang w:val="es-ES_tradnl"/>
        </w:rPr>
        <w:t>Hermosillo, Sono</w:t>
      </w:r>
      <w:r w:rsidR="00BA748E">
        <w:rPr>
          <w:rFonts w:ascii="Century Gothic" w:hAnsi="Century Gothic"/>
          <w:color w:val="000000" w:themeColor="text1"/>
          <w:sz w:val="22"/>
          <w:szCs w:val="22"/>
          <w:lang w:val="es-ES_tradnl"/>
        </w:rPr>
        <w:t>ra a  30 de Junio del 2011.</w:t>
      </w:r>
    </w:p>
    <w:p w:rsidR="00041B68" w:rsidRPr="00570F57" w:rsidRDefault="00041B68" w:rsidP="00041B68">
      <w:pPr>
        <w:pStyle w:val="Prrafodelista1"/>
        <w:spacing w:after="0"/>
        <w:ind w:left="1276"/>
        <w:jc w:val="right"/>
        <w:rPr>
          <w:rFonts w:ascii="Century Gothic" w:hAnsi="Century Gothic"/>
          <w:color w:val="000000" w:themeColor="text1"/>
          <w:lang w:val="es-ES"/>
        </w:rPr>
      </w:pPr>
      <w:r w:rsidRPr="00570F57">
        <w:rPr>
          <w:rFonts w:ascii="Century Gothic" w:hAnsi="Century Gothic"/>
          <w:color w:val="000000" w:themeColor="text1"/>
          <w:lang w:val="es-ES"/>
        </w:rPr>
        <w:t xml:space="preserve">                                                                          </w:t>
      </w:r>
      <w:r w:rsidRPr="00570F57">
        <w:rPr>
          <w:rFonts w:ascii="Century Gothic" w:hAnsi="Century Gothic"/>
          <w:color w:val="000000" w:themeColor="text1"/>
          <w:sz w:val="20"/>
          <w:szCs w:val="20"/>
          <w:lang w:val="es-ES"/>
        </w:rPr>
        <w:t xml:space="preserve"> “</w:t>
      </w:r>
      <w:r w:rsidR="00570F57">
        <w:rPr>
          <w:rFonts w:ascii="Century Gothic" w:hAnsi="Century Gothic"/>
          <w:i/>
          <w:color w:val="000000" w:themeColor="text1"/>
          <w:sz w:val="20"/>
          <w:szCs w:val="20"/>
          <w:lang w:val="es-ES"/>
        </w:rPr>
        <w:t>2011</w:t>
      </w:r>
      <w:r w:rsidRPr="00570F57">
        <w:rPr>
          <w:rFonts w:ascii="Century Gothic" w:hAnsi="Century Gothic"/>
          <w:i/>
          <w:color w:val="000000" w:themeColor="text1"/>
          <w:sz w:val="20"/>
          <w:szCs w:val="20"/>
          <w:lang w:val="es-ES"/>
        </w:rPr>
        <w:t xml:space="preserve">: “Año </w:t>
      </w:r>
      <w:r w:rsidR="00570F57">
        <w:rPr>
          <w:rFonts w:ascii="Century Gothic" w:hAnsi="Century Gothic"/>
          <w:i/>
          <w:color w:val="000000" w:themeColor="text1"/>
          <w:sz w:val="20"/>
          <w:szCs w:val="20"/>
          <w:lang w:val="es-ES"/>
        </w:rPr>
        <w:t xml:space="preserve">Eusebio Francisco </w:t>
      </w:r>
      <w:proofErr w:type="spellStart"/>
      <w:r w:rsidR="00570F57">
        <w:rPr>
          <w:rFonts w:ascii="Century Gothic" w:hAnsi="Century Gothic"/>
          <w:i/>
          <w:color w:val="000000" w:themeColor="text1"/>
          <w:sz w:val="20"/>
          <w:szCs w:val="20"/>
          <w:lang w:val="es-ES"/>
        </w:rPr>
        <w:t>Kino</w:t>
      </w:r>
      <w:proofErr w:type="spellEnd"/>
      <w:r w:rsidR="00570F57">
        <w:rPr>
          <w:rFonts w:ascii="Century Gothic" w:hAnsi="Century Gothic"/>
          <w:i/>
          <w:color w:val="000000" w:themeColor="text1"/>
          <w:sz w:val="20"/>
          <w:szCs w:val="20"/>
          <w:lang w:val="es-ES"/>
        </w:rPr>
        <w:t xml:space="preserve">” </w:t>
      </w:r>
      <w:r w:rsidRPr="00570F57">
        <w:rPr>
          <w:rFonts w:ascii="Century Gothic" w:hAnsi="Century Gothic"/>
          <w:color w:val="000000" w:themeColor="text1"/>
          <w:lang w:val="es-ES"/>
        </w:rPr>
        <w:t xml:space="preserve">                                                                                                   </w:t>
      </w:r>
      <w:r w:rsidR="009A7F7F">
        <w:rPr>
          <w:rFonts w:ascii="Century Gothic" w:hAnsi="Century Gothic"/>
          <w:color w:val="000000" w:themeColor="text1"/>
          <w:lang w:val="es-ES"/>
        </w:rPr>
        <w:t xml:space="preserve">                  Oficio No. ISJ/DG/356/11</w:t>
      </w:r>
    </w:p>
    <w:p w:rsidR="00041B68" w:rsidRPr="00570F57" w:rsidRDefault="00041B68" w:rsidP="00041B68">
      <w:pPr>
        <w:spacing w:after="0" w:line="240" w:lineRule="atLeast"/>
        <w:ind w:left="1276"/>
        <w:jc w:val="both"/>
        <w:rPr>
          <w:rFonts w:ascii="Century Gothic" w:hAnsi="Century Gothic"/>
          <w:color w:val="000000" w:themeColor="text1"/>
          <w:sz w:val="22"/>
          <w:szCs w:val="22"/>
          <w:lang w:val="es-ES_tradnl"/>
        </w:rPr>
      </w:pPr>
    </w:p>
    <w:p w:rsidR="00041B68" w:rsidRPr="00570F57" w:rsidRDefault="00041B68" w:rsidP="00041B68">
      <w:pPr>
        <w:spacing w:after="0" w:line="240" w:lineRule="atLeast"/>
        <w:ind w:left="1276"/>
        <w:jc w:val="both"/>
        <w:rPr>
          <w:rFonts w:ascii="Century Gothic" w:hAnsi="Century Gothic"/>
          <w:color w:val="000000" w:themeColor="text1"/>
          <w:sz w:val="22"/>
          <w:szCs w:val="22"/>
          <w:lang w:val="es-ES_tradnl"/>
        </w:rPr>
      </w:pPr>
    </w:p>
    <w:p w:rsidR="00041B68" w:rsidRPr="00570F57" w:rsidRDefault="00041B68" w:rsidP="00041B68">
      <w:pPr>
        <w:spacing w:after="0" w:line="240" w:lineRule="atLeast"/>
        <w:ind w:left="127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567"/>
        <w:jc w:val="both"/>
        <w:rPr>
          <w:rFonts w:ascii="Century Gothic" w:hAnsi="Century Gothic"/>
          <w:b/>
          <w:color w:val="000000" w:themeColor="text1"/>
          <w:sz w:val="22"/>
          <w:szCs w:val="22"/>
          <w:lang w:val="es-ES_tradnl"/>
        </w:rPr>
      </w:pPr>
      <w:r w:rsidRPr="00570F57">
        <w:rPr>
          <w:rFonts w:ascii="Century Gothic" w:hAnsi="Century Gothic"/>
          <w:b/>
          <w:color w:val="000000" w:themeColor="text1"/>
          <w:sz w:val="22"/>
          <w:szCs w:val="22"/>
          <w:lang w:val="es-ES_tradnl"/>
        </w:rPr>
        <w:t>C.P. C. EUGENIO PABLOS ANTILLON</w:t>
      </w:r>
    </w:p>
    <w:p w:rsidR="00041B68" w:rsidRPr="00570F57" w:rsidRDefault="00041B68" w:rsidP="00041B68">
      <w:pPr>
        <w:spacing w:after="0" w:line="240" w:lineRule="atLeast"/>
        <w:ind w:left="1276"/>
        <w:jc w:val="both"/>
        <w:rPr>
          <w:rFonts w:ascii="Century Gothic" w:hAnsi="Century Gothic"/>
          <w:b/>
          <w:color w:val="000000" w:themeColor="text1"/>
          <w:sz w:val="22"/>
          <w:szCs w:val="22"/>
          <w:lang w:val="es-ES_tradnl"/>
        </w:rPr>
      </w:pPr>
      <w:r w:rsidRPr="00570F57">
        <w:rPr>
          <w:rFonts w:ascii="Century Gothic" w:hAnsi="Century Gothic"/>
          <w:b/>
          <w:color w:val="000000" w:themeColor="text1"/>
          <w:sz w:val="22"/>
          <w:szCs w:val="22"/>
          <w:lang w:val="es-ES_tradnl"/>
        </w:rPr>
        <w:t xml:space="preserve">    AUDITOR MAYOR DEL ISAF</w:t>
      </w:r>
    </w:p>
    <w:p w:rsidR="00041B68" w:rsidRPr="00570F57" w:rsidRDefault="00041B68" w:rsidP="00041B68">
      <w:pPr>
        <w:spacing w:after="0" w:line="240" w:lineRule="atLeast"/>
        <w:ind w:left="1276"/>
        <w:jc w:val="both"/>
        <w:rPr>
          <w:rFonts w:ascii="Century Gothic" w:hAnsi="Century Gothic"/>
          <w:b/>
          <w:color w:val="000000" w:themeColor="text1"/>
          <w:sz w:val="22"/>
          <w:szCs w:val="22"/>
          <w:lang w:val="es-ES_tradnl"/>
        </w:rPr>
      </w:pPr>
      <w:r w:rsidRPr="00570F57">
        <w:rPr>
          <w:rFonts w:ascii="Century Gothic" w:hAnsi="Century Gothic"/>
          <w:b/>
          <w:color w:val="000000" w:themeColor="text1"/>
          <w:sz w:val="22"/>
          <w:szCs w:val="22"/>
          <w:lang w:val="es-ES_tradnl"/>
        </w:rPr>
        <w:t>Presente.</w:t>
      </w:r>
    </w:p>
    <w:p w:rsidR="00041B68" w:rsidRPr="00570F57" w:rsidRDefault="00041B68" w:rsidP="00041B68">
      <w:pPr>
        <w:spacing w:after="0" w:line="240" w:lineRule="atLeast"/>
        <w:ind w:left="1276"/>
        <w:jc w:val="both"/>
        <w:rPr>
          <w:rFonts w:ascii="Century Gothic" w:hAnsi="Century Gothic"/>
          <w:b/>
          <w:color w:val="000000" w:themeColor="text1"/>
          <w:sz w:val="22"/>
          <w:szCs w:val="22"/>
          <w:lang w:val="es-ES_tradnl"/>
        </w:rPr>
      </w:pPr>
    </w:p>
    <w:p w:rsidR="00041B68" w:rsidRPr="00570F57" w:rsidRDefault="00041B68" w:rsidP="00041B68">
      <w:pPr>
        <w:spacing w:after="0" w:line="240" w:lineRule="atLeast"/>
        <w:ind w:left="127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r w:rsidRPr="00570F57">
        <w:rPr>
          <w:rFonts w:ascii="Century Gothic" w:hAnsi="Century Gothic"/>
          <w:color w:val="000000" w:themeColor="text1"/>
          <w:sz w:val="22"/>
          <w:szCs w:val="22"/>
          <w:lang w:val="es-ES_tradnl"/>
        </w:rPr>
        <w:t>Por  este conducto le envió un cordial saludo y así mismo le ha</w:t>
      </w:r>
      <w:r w:rsidR="009B2398" w:rsidRPr="00570F57">
        <w:rPr>
          <w:rFonts w:ascii="Century Gothic" w:hAnsi="Century Gothic"/>
          <w:color w:val="000000" w:themeColor="text1"/>
          <w:sz w:val="22"/>
          <w:szCs w:val="22"/>
          <w:lang w:val="es-ES_tradnl"/>
        </w:rPr>
        <w:t xml:space="preserve">go llegar  la solventación de  7  observaciones </w:t>
      </w:r>
      <w:r w:rsidRPr="00570F57">
        <w:rPr>
          <w:rFonts w:ascii="Century Gothic" w:hAnsi="Century Gothic"/>
          <w:color w:val="000000" w:themeColor="text1"/>
          <w:sz w:val="22"/>
          <w:szCs w:val="22"/>
          <w:lang w:val="es-ES_tradnl"/>
        </w:rPr>
        <w:t xml:space="preserve"> que se contienen en el informe de la </w:t>
      </w:r>
      <w:r w:rsidR="009B2398" w:rsidRPr="00570F57">
        <w:rPr>
          <w:rFonts w:ascii="Century Gothic" w:hAnsi="Century Gothic"/>
          <w:color w:val="000000" w:themeColor="text1"/>
          <w:sz w:val="22"/>
          <w:szCs w:val="22"/>
          <w:lang w:val="es-ES_tradnl"/>
        </w:rPr>
        <w:t>segunda revisión a los informes trimestrales e inicial de la Cuenta  de la Hacienda Pública Estatal correspondiente al ejercicio 2010 de este instituto.</w:t>
      </w:r>
      <w:r w:rsidRPr="00570F57">
        <w:rPr>
          <w:rFonts w:ascii="Century Gothic" w:hAnsi="Century Gothic"/>
          <w:color w:val="000000" w:themeColor="text1"/>
          <w:sz w:val="22"/>
          <w:szCs w:val="22"/>
          <w:lang w:val="es-ES_tradnl"/>
        </w:rPr>
        <w:t xml:space="preserve"> </w:t>
      </w: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r w:rsidRPr="00570F57">
        <w:rPr>
          <w:rFonts w:ascii="Century Gothic" w:hAnsi="Century Gothic"/>
          <w:color w:val="000000" w:themeColor="text1"/>
          <w:sz w:val="22"/>
          <w:szCs w:val="22"/>
          <w:lang w:val="es-ES_tradnl"/>
        </w:rPr>
        <w:t xml:space="preserve"> Atendiendo así  la solicitud hecha</w:t>
      </w:r>
      <w:r w:rsidR="009B2398" w:rsidRPr="00570F57">
        <w:rPr>
          <w:rFonts w:ascii="Century Gothic" w:hAnsi="Century Gothic"/>
          <w:color w:val="000000" w:themeColor="text1"/>
          <w:sz w:val="22"/>
          <w:szCs w:val="22"/>
          <w:lang w:val="es-ES_tradnl"/>
        </w:rPr>
        <w:t xml:space="preserve"> mediante oficio ISAF/AAE-1941-2011</w:t>
      </w:r>
      <w:r w:rsidRPr="00570F57">
        <w:rPr>
          <w:rFonts w:ascii="Century Gothic" w:hAnsi="Century Gothic"/>
          <w:color w:val="000000" w:themeColor="text1"/>
          <w:sz w:val="22"/>
          <w:szCs w:val="22"/>
          <w:lang w:val="es-ES_tradnl"/>
        </w:rPr>
        <w:t>,  le dam</w:t>
      </w:r>
      <w:r w:rsidR="00CB49C6" w:rsidRPr="00570F57">
        <w:rPr>
          <w:rFonts w:ascii="Century Gothic" w:hAnsi="Century Gothic"/>
          <w:color w:val="000000" w:themeColor="text1"/>
          <w:sz w:val="22"/>
          <w:szCs w:val="22"/>
          <w:lang w:val="es-ES_tradnl"/>
        </w:rPr>
        <w:t>os respuesta y a su vez hacemos</w:t>
      </w:r>
      <w:r w:rsidRPr="00570F57">
        <w:rPr>
          <w:rFonts w:ascii="Century Gothic" w:hAnsi="Century Gothic"/>
          <w:color w:val="000000" w:themeColor="text1"/>
          <w:sz w:val="22"/>
          <w:szCs w:val="22"/>
          <w:lang w:val="es-ES_tradnl"/>
        </w:rPr>
        <w:t xml:space="preserve"> el compromiso de seguir previniendo observaciones, aplicando las políticas  de operación que estarán rigiendo en esta administración, así como los principios que enmarcan este Nuevo Sonora.</w:t>
      </w: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r w:rsidRPr="00570F57">
        <w:rPr>
          <w:rFonts w:ascii="Century Gothic" w:hAnsi="Century Gothic"/>
          <w:color w:val="000000" w:themeColor="text1"/>
          <w:sz w:val="22"/>
          <w:szCs w:val="22"/>
          <w:lang w:val="es-ES_tradnl"/>
        </w:rPr>
        <w:t>Sin otro en particular quedo a sus apreciables ordenes.</w:t>
      </w: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sz w:val="22"/>
          <w:szCs w:val="22"/>
          <w:lang w:val="es-ES_tradnl"/>
        </w:rPr>
      </w:pPr>
    </w:p>
    <w:p w:rsidR="00041B68" w:rsidRPr="00570F57" w:rsidRDefault="00041B68" w:rsidP="00EF5D25">
      <w:pPr>
        <w:spacing w:after="0" w:line="240" w:lineRule="atLeast"/>
        <w:ind w:left="426"/>
        <w:jc w:val="both"/>
        <w:rPr>
          <w:rFonts w:ascii="Century Gothic" w:hAnsi="Century Gothic"/>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r w:rsidRPr="00570F57">
        <w:rPr>
          <w:rFonts w:ascii="Century Gothic" w:hAnsi="Century Gothic"/>
          <w:b/>
          <w:color w:val="000000" w:themeColor="text1"/>
          <w:lang w:val="es-ES_tradnl"/>
        </w:rPr>
        <w:t>ATENTAMENTE</w:t>
      </w: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r w:rsidRPr="00570F57">
        <w:rPr>
          <w:rFonts w:ascii="Century Gothic" w:hAnsi="Century Gothic"/>
          <w:b/>
          <w:color w:val="000000" w:themeColor="text1"/>
          <w:lang w:val="es-ES_tradnl"/>
        </w:rPr>
        <w:t>ING. JOSÉ EVERARDO LÓPEZ CORDOVA</w:t>
      </w:r>
    </w:p>
    <w:p w:rsidR="00041B68" w:rsidRPr="00570F57" w:rsidRDefault="00041B68" w:rsidP="00EF5D25">
      <w:pPr>
        <w:spacing w:after="0" w:line="240" w:lineRule="atLeast"/>
        <w:ind w:left="426"/>
        <w:jc w:val="both"/>
        <w:rPr>
          <w:rFonts w:ascii="Century Gothic" w:hAnsi="Century Gothic"/>
          <w:b/>
          <w:color w:val="000000" w:themeColor="text1"/>
          <w:lang w:val="es-ES_tradnl"/>
        </w:rPr>
      </w:pPr>
      <w:r w:rsidRPr="00570F57">
        <w:rPr>
          <w:rFonts w:ascii="Century Gothic" w:hAnsi="Century Gothic"/>
          <w:b/>
          <w:color w:val="000000" w:themeColor="text1"/>
          <w:lang w:val="es-ES_tradnl"/>
        </w:rPr>
        <w:t>DIRECTOR GENERAL DEL INSTITUTO SONORENSE DE LA JUVENTUD</w:t>
      </w: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041B68" w:rsidP="00EF5D25">
      <w:pPr>
        <w:spacing w:after="0" w:line="240" w:lineRule="atLeast"/>
        <w:ind w:left="426"/>
        <w:jc w:val="both"/>
        <w:rPr>
          <w:rFonts w:ascii="Century Gothic" w:hAnsi="Century Gothic"/>
          <w:b/>
          <w:color w:val="000000" w:themeColor="text1"/>
          <w:lang w:val="es-ES_tradnl"/>
        </w:rPr>
      </w:pPr>
    </w:p>
    <w:p w:rsidR="00041B68" w:rsidRPr="00570F57" w:rsidRDefault="00CB49C6" w:rsidP="00EF5D25">
      <w:pPr>
        <w:spacing w:after="0" w:line="240" w:lineRule="atLeast"/>
        <w:ind w:left="426"/>
        <w:jc w:val="both"/>
        <w:rPr>
          <w:rFonts w:ascii="Century Gothic" w:hAnsi="Century Gothic"/>
          <w:color w:val="000000" w:themeColor="text1"/>
          <w:sz w:val="14"/>
          <w:szCs w:val="14"/>
          <w:lang w:val="es-ES_tradnl"/>
        </w:rPr>
      </w:pPr>
      <w:proofErr w:type="spellStart"/>
      <w:r w:rsidRPr="00570F57">
        <w:rPr>
          <w:rFonts w:ascii="Century Gothic" w:hAnsi="Century Gothic"/>
          <w:color w:val="000000" w:themeColor="text1"/>
          <w:sz w:val="14"/>
          <w:szCs w:val="14"/>
          <w:lang w:val="es-ES_tradnl"/>
        </w:rPr>
        <w:t>C.c.p.</w:t>
      </w:r>
      <w:proofErr w:type="spellEnd"/>
      <w:r w:rsidRPr="00570F57">
        <w:rPr>
          <w:rFonts w:ascii="Century Gothic" w:hAnsi="Century Gothic"/>
          <w:color w:val="000000" w:themeColor="text1"/>
          <w:sz w:val="14"/>
          <w:szCs w:val="14"/>
          <w:lang w:val="es-ES_tradnl"/>
        </w:rPr>
        <w:t xml:space="preserve">  C.P. </w:t>
      </w:r>
      <w:r w:rsidR="003E3B94" w:rsidRPr="00570F57">
        <w:rPr>
          <w:rFonts w:ascii="Century Gothic" w:hAnsi="Century Gothic"/>
          <w:color w:val="000000" w:themeColor="text1"/>
          <w:sz w:val="14"/>
          <w:szCs w:val="14"/>
          <w:lang w:val="es-ES_tradnl"/>
        </w:rPr>
        <w:t xml:space="preserve">GILDARDO ANTONIO RAMIREZ OSUNA.- Titular </w:t>
      </w:r>
      <w:proofErr w:type="spellStart"/>
      <w:r w:rsidR="003E3B94" w:rsidRPr="00570F57">
        <w:rPr>
          <w:rFonts w:ascii="Century Gothic" w:hAnsi="Century Gothic"/>
          <w:color w:val="000000" w:themeColor="text1"/>
          <w:sz w:val="14"/>
          <w:szCs w:val="14"/>
          <w:lang w:val="es-ES_tradnl"/>
        </w:rPr>
        <w:t>Organo</w:t>
      </w:r>
      <w:proofErr w:type="spellEnd"/>
      <w:r w:rsidR="003E3B94" w:rsidRPr="00570F57">
        <w:rPr>
          <w:rFonts w:ascii="Century Gothic" w:hAnsi="Century Gothic"/>
          <w:color w:val="000000" w:themeColor="text1"/>
          <w:sz w:val="14"/>
          <w:szCs w:val="14"/>
          <w:lang w:val="es-ES_tradnl"/>
        </w:rPr>
        <w:t xml:space="preserve"> de Control y Desarrollo Administrativo.</w:t>
      </w:r>
    </w:p>
    <w:p w:rsidR="00CB49C6" w:rsidRPr="00570F57" w:rsidRDefault="00CB49C6" w:rsidP="00EF5D25">
      <w:pPr>
        <w:spacing w:after="0" w:line="240" w:lineRule="atLeast"/>
        <w:ind w:left="426"/>
        <w:jc w:val="both"/>
        <w:rPr>
          <w:rFonts w:ascii="Century Gothic" w:hAnsi="Century Gothic"/>
          <w:color w:val="000000" w:themeColor="text1"/>
          <w:sz w:val="14"/>
          <w:szCs w:val="14"/>
          <w:lang w:val="es-ES_tradnl"/>
        </w:rPr>
      </w:pPr>
      <w:proofErr w:type="spellStart"/>
      <w:r w:rsidRPr="00570F57">
        <w:rPr>
          <w:rFonts w:ascii="Century Gothic" w:hAnsi="Century Gothic"/>
          <w:color w:val="000000" w:themeColor="text1"/>
          <w:sz w:val="14"/>
          <w:szCs w:val="14"/>
          <w:lang w:val="es-ES_tradnl"/>
        </w:rPr>
        <w:t>C.c.p.</w:t>
      </w:r>
      <w:proofErr w:type="spellEnd"/>
      <w:r w:rsidRPr="00570F57">
        <w:rPr>
          <w:rFonts w:ascii="Century Gothic" w:hAnsi="Century Gothic"/>
          <w:color w:val="000000" w:themeColor="text1"/>
          <w:sz w:val="14"/>
          <w:szCs w:val="14"/>
          <w:lang w:val="es-ES_tradnl"/>
        </w:rPr>
        <w:t>- Archivo</w:t>
      </w:r>
    </w:p>
    <w:p w:rsidR="00041B68" w:rsidRPr="00570F57" w:rsidRDefault="00041B68" w:rsidP="00EF5D25">
      <w:pPr>
        <w:tabs>
          <w:tab w:val="left" w:pos="9214"/>
        </w:tabs>
        <w:spacing w:after="20"/>
        <w:ind w:left="42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EF5D25" w:rsidRPr="00570F57" w:rsidRDefault="00EF5D25" w:rsidP="00041B68">
      <w:pPr>
        <w:tabs>
          <w:tab w:val="left" w:pos="9214"/>
        </w:tabs>
        <w:spacing w:after="20"/>
        <w:ind w:left="1276"/>
        <w:jc w:val="both"/>
        <w:rPr>
          <w:rFonts w:ascii="Arial" w:hAnsi="Arial"/>
          <w:b/>
          <w:color w:val="000000" w:themeColor="text1"/>
          <w:sz w:val="20"/>
          <w:lang w:val="es-ES_tradnl"/>
        </w:rPr>
      </w:pPr>
    </w:p>
    <w:p w:rsidR="00041B68" w:rsidRDefault="00041B68" w:rsidP="00041B68">
      <w:pPr>
        <w:tabs>
          <w:tab w:val="left" w:pos="9214"/>
        </w:tabs>
        <w:spacing w:after="20"/>
        <w:ind w:left="1276"/>
        <w:jc w:val="both"/>
        <w:rPr>
          <w:rFonts w:ascii="Arial" w:hAnsi="Arial"/>
          <w:b/>
          <w:color w:val="000000" w:themeColor="text1"/>
          <w:sz w:val="20"/>
          <w:lang w:val="es-ES_tradnl"/>
        </w:rPr>
      </w:pPr>
    </w:p>
    <w:p w:rsidR="00570F57" w:rsidRDefault="00570F57" w:rsidP="00041B68">
      <w:pPr>
        <w:tabs>
          <w:tab w:val="left" w:pos="9214"/>
        </w:tabs>
        <w:spacing w:after="20"/>
        <w:ind w:left="1276"/>
        <w:jc w:val="both"/>
        <w:rPr>
          <w:rFonts w:ascii="Arial" w:hAnsi="Arial"/>
          <w:b/>
          <w:color w:val="000000" w:themeColor="text1"/>
          <w:sz w:val="20"/>
          <w:lang w:val="es-ES_tradnl"/>
        </w:rPr>
      </w:pPr>
    </w:p>
    <w:p w:rsidR="00570F57" w:rsidRDefault="00570F57" w:rsidP="00041B68">
      <w:pPr>
        <w:tabs>
          <w:tab w:val="left" w:pos="9214"/>
        </w:tabs>
        <w:spacing w:after="20"/>
        <w:ind w:left="1276"/>
        <w:jc w:val="both"/>
        <w:rPr>
          <w:rFonts w:ascii="Arial" w:hAnsi="Arial"/>
          <w:b/>
          <w:color w:val="000000" w:themeColor="text1"/>
          <w:sz w:val="20"/>
          <w:lang w:val="es-ES_tradnl"/>
        </w:rPr>
      </w:pPr>
    </w:p>
    <w:p w:rsidR="00570F57" w:rsidRDefault="00570F57" w:rsidP="00041B68">
      <w:pPr>
        <w:tabs>
          <w:tab w:val="left" w:pos="9214"/>
        </w:tabs>
        <w:spacing w:after="20"/>
        <w:ind w:left="1276"/>
        <w:jc w:val="both"/>
        <w:rPr>
          <w:rFonts w:ascii="Arial" w:hAnsi="Arial"/>
          <w:b/>
          <w:color w:val="000000" w:themeColor="text1"/>
          <w:sz w:val="20"/>
          <w:lang w:val="es-ES_tradnl"/>
        </w:rPr>
      </w:pPr>
    </w:p>
    <w:p w:rsidR="00570F57" w:rsidRDefault="00570F57" w:rsidP="00041B68">
      <w:pPr>
        <w:tabs>
          <w:tab w:val="left" w:pos="9214"/>
        </w:tabs>
        <w:spacing w:after="20"/>
        <w:ind w:left="1276"/>
        <w:jc w:val="both"/>
        <w:rPr>
          <w:rFonts w:ascii="Arial" w:hAnsi="Arial"/>
          <w:b/>
          <w:color w:val="000000" w:themeColor="text1"/>
          <w:sz w:val="20"/>
          <w:lang w:val="es-ES_tradnl"/>
        </w:rPr>
      </w:pPr>
    </w:p>
    <w:p w:rsidR="00570F57" w:rsidRDefault="00570F57" w:rsidP="00041B68">
      <w:pPr>
        <w:tabs>
          <w:tab w:val="left" w:pos="9214"/>
        </w:tabs>
        <w:spacing w:after="20"/>
        <w:ind w:left="1276"/>
        <w:jc w:val="both"/>
        <w:rPr>
          <w:rFonts w:ascii="Arial" w:hAnsi="Arial"/>
          <w:b/>
          <w:color w:val="000000" w:themeColor="text1"/>
          <w:sz w:val="20"/>
          <w:lang w:val="es-ES_tradnl"/>
        </w:rPr>
      </w:pPr>
    </w:p>
    <w:p w:rsidR="00570F57" w:rsidRPr="00570F57" w:rsidRDefault="00570F57" w:rsidP="00041B68">
      <w:pPr>
        <w:tabs>
          <w:tab w:val="left" w:pos="9214"/>
        </w:tabs>
        <w:spacing w:after="20"/>
        <w:ind w:left="1276"/>
        <w:jc w:val="both"/>
        <w:rPr>
          <w:rFonts w:ascii="Arial" w:hAnsi="Arial"/>
          <w:b/>
          <w:color w:val="000000" w:themeColor="text1"/>
          <w:sz w:val="20"/>
          <w:lang w:val="es-ES_tradnl"/>
        </w:rPr>
      </w:pPr>
    </w:p>
    <w:p w:rsidR="00041B68" w:rsidRPr="00570F57" w:rsidRDefault="00041B68" w:rsidP="00041B68">
      <w:pPr>
        <w:tabs>
          <w:tab w:val="left" w:pos="9214"/>
        </w:tabs>
        <w:spacing w:after="20"/>
        <w:ind w:left="1276"/>
        <w:jc w:val="both"/>
        <w:rPr>
          <w:rFonts w:ascii="Arial" w:hAnsi="Arial"/>
          <w:b/>
          <w:color w:val="000000" w:themeColor="text1"/>
          <w:sz w:val="20"/>
          <w:lang w:val="es-ES_tradnl"/>
        </w:rPr>
      </w:pPr>
    </w:p>
    <w:p w:rsidR="003E3B94" w:rsidRPr="00570F57" w:rsidRDefault="00041B68" w:rsidP="00041B68">
      <w:pPr>
        <w:pStyle w:val="NormalWeb"/>
        <w:ind w:left="1276"/>
        <w:contextualSpacing/>
        <w:jc w:val="center"/>
        <w:rPr>
          <w:rFonts w:ascii="Arial Narrow" w:hAnsi="Arial Narrow"/>
          <w:b/>
          <w:bCs/>
          <w:color w:val="000000" w:themeColor="text1"/>
          <w:sz w:val="26"/>
          <w:szCs w:val="26"/>
        </w:rPr>
      </w:pPr>
      <w:r w:rsidRPr="00570F57">
        <w:rPr>
          <w:rFonts w:ascii="Arial Narrow" w:hAnsi="Arial Narrow"/>
          <w:b/>
          <w:bCs/>
          <w:color w:val="000000" w:themeColor="text1"/>
          <w:sz w:val="26"/>
          <w:szCs w:val="26"/>
        </w:rPr>
        <w:t xml:space="preserve">Anexo al Oficio número </w:t>
      </w:r>
      <w:r w:rsidR="00BA748E">
        <w:rPr>
          <w:rFonts w:ascii="Arial Narrow" w:hAnsi="Arial Narrow"/>
          <w:b/>
          <w:bCs/>
          <w:color w:val="000000" w:themeColor="text1"/>
          <w:sz w:val="26"/>
          <w:szCs w:val="26"/>
        </w:rPr>
        <w:t xml:space="preserve"> </w:t>
      </w:r>
      <w:r w:rsidR="00BA748E" w:rsidRPr="00BA748E">
        <w:rPr>
          <w:rFonts w:ascii="Century Gothic" w:hAnsi="Century Gothic"/>
          <w:b/>
          <w:color w:val="000000" w:themeColor="text1"/>
          <w:lang w:val="es-ES"/>
        </w:rPr>
        <w:t>ISJ/DG/356/11</w:t>
      </w:r>
      <w:r w:rsidR="003E3B94" w:rsidRPr="00BA748E">
        <w:rPr>
          <w:rFonts w:ascii="Arial Narrow" w:hAnsi="Arial Narrow"/>
          <w:b/>
          <w:bCs/>
          <w:color w:val="000000" w:themeColor="text1"/>
          <w:sz w:val="26"/>
          <w:szCs w:val="26"/>
        </w:rPr>
        <w:t>del</w:t>
      </w:r>
      <w:r w:rsidR="003E3B94" w:rsidRPr="00570F57">
        <w:rPr>
          <w:rFonts w:ascii="Arial Narrow" w:hAnsi="Arial Narrow"/>
          <w:b/>
          <w:bCs/>
          <w:color w:val="000000" w:themeColor="text1"/>
          <w:sz w:val="26"/>
          <w:szCs w:val="26"/>
        </w:rPr>
        <w:t xml:space="preserve"> 30  </w:t>
      </w:r>
      <w:r w:rsidRPr="00570F57">
        <w:rPr>
          <w:rFonts w:ascii="Arial Narrow" w:hAnsi="Arial Narrow"/>
          <w:b/>
          <w:bCs/>
          <w:color w:val="000000" w:themeColor="text1"/>
          <w:sz w:val="26"/>
          <w:szCs w:val="26"/>
        </w:rPr>
        <w:t xml:space="preserve">de </w:t>
      </w:r>
      <w:r w:rsidR="003E3B94" w:rsidRPr="00570F57">
        <w:rPr>
          <w:rFonts w:ascii="Arial Narrow" w:hAnsi="Arial Narrow"/>
          <w:b/>
          <w:bCs/>
          <w:color w:val="000000" w:themeColor="text1"/>
          <w:sz w:val="26"/>
          <w:szCs w:val="26"/>
        </w:rPr>
        <w:t xml:space="preserve">Junio del 2011. </w:t>
      </w:r>
    </w:p>
    <w:p w:rsidR="00041B68" w:rsidRPr="00570F57" w:rsidRDefault="003E3B94" w:rsidP="00041B68">
      <w:pPr>
        <w:pStyle w:val="NormalWeb"/>
        <w:ind w:left="1276"/>
        <w:contextualSpacing/>
        <w:jc w:val="center"/>
        <w:rPr>
          <w:rFonts w:ascii="Arial Narrow" w:hAnsi="Arial Narrow"/>
          <w:b/>
          <w:bCs/>
          <w:color w:val="000000" w:themeColor="text1"/>
          <w:sz w:val="26"/>
          <w:szCs w:val="26"/>
        </w:rPr>
      </w:pPr>
      <w:r w:rsidRPr="00570F57">
        <w:rPr>
          <w:rFonts w:ascii="Arial Narrow" w:hAnsi="Arial Narrow"/>
          <w:b/>
          <w:bCs/>
          <w:color w:val="000000" w:themeColor="text1"/>
          <w:sz w:val="26"/>
          <w:szCs w:val="26"/>
        </w:rPr>
        <w:t>Solventación de 7</w:t>
      </w:r>
      <w:r w:rsidR="00041B68" w:rsidRPr="00570F57">
        <w:rPr>
          <w:rFonts w:ascii="Arial Narrow" w:hAnsi="Arial Narrow"/>
          <w:b/>
          <w:bCs/>
          <w:color w:val="000000" w:themeColor="text1"/>
          <w:sz w:val="26"/>
          <w:szCs w:val="26"/>
        </w:rPr>
        <w:t xml:space="preserve"> observaciones</w:t>
      </w:r>
      <w:r w:rsidRPr="00570F57">
        <w:rPr>
          <w:rFonts w:ascii="Arial Narrow" w:hAnsi="Arial Narrow"/>
          <w:b/>
          <w:bCs/>
          <w:color w:val="000000" w:themeColor="text1"/>
          <w:sz w:val="26"/>
          <w:szCs w:val="26"/>
        </w:rPr>
        <w:t xml:space="preserve"> co</w:t>
      </w:r>
      <w:r w:rsidR="00041B68" w:rsidRPr="00570F57">
        <w:rPr>
          <w:rFonts w:ascii="Arial Narrow" w:hAnsi="Arial Narrow"/>
          <w:b/>
          <w:bCs/>
          <w:color w:val="000000" w:themeColor="text1"/>
          <w:sz w:val="26"/>
          <w:szCs w:val="26"/>
        </w:rPr>
        <w:t>ntenidas en el Informe de la</w:t>
      </w:r>
      <w:r w:rsidRPr="00570F57">
        <w:rPr>
          <w:rFonts w:ascii="Arial Narrow" w:hAnsi="Arial Narrow"/>
          <w:b/>
          <w:bCs/>
          <w:color w:val="000000" w:themeColor="text1"/>
          <w:sz w:val="26"/>
          <w:szCs w:val="26"/>
        </w:rPr>
        <w:t xml:space="preserve"> segunda revisión del 2010</w:t>
      </w:r>
      <w:r w:rsidR="00041B68" w:rsidRPr="00570F57">
        <w:rPr>
          <w:rFonts w:ascii="Arial Narrow" w:hAnsi="Arial Narrow"/>
          <w:b/>
          <w:bCs/>
          <w:color w:val="000000" w:themeColor="text1"/>
          <w:sz w:val="26"/>
          <w:szCs w:val="26"/>
        </w:rPr>
        <w:t>, presentadas por el Instituto Superio</w:t>
      </w:r>
      <w:r w:rsidRPr="00570F57">
        <w:rPr>
          <w:rFonts w:ascii="Arial Narrow" w:hAnsi="Arial Narrow"/>
          <w:b/>
          <w:bCs/>
          <w:color w:val="000000" w:themeColor="text1"/>
          <w:sz w:val="26"/>
          <w:szCs w:val="26"/>
        </w:rPr>
        <w:t>r de Auditoria y Fiscalización.</w:t>
      </w:r>
    </w:p>
    <w:p w:rsidR="003E3B94" w:rsidRPr="00570F57" w:rsidRDefault="003E3B94" w:rsidP="00041B68">
      <w:pPr>
        <w:pStyle w:val="NormalWeb"/>
        <w:ind w:left="1276"/>
        <w:contextualSpacing/>
        <w:jc w:val="center"/>
        <w:rPr>
          <w:rFonts w:ascii="Arial Narrow" w:hAnsi="Arial Narrow"/>
          <w:b/>
          <w:bCs/>
          <w:color w:val="000000" w:themeColor="text1"/>
          <w:sz w:val="26"/>
          <w:szCs w:val="26"/>
        </w:rPr>
      </w:pPr>
    </w:p>
    <w:p w:rsidR="00EF5D25" w:rsidRPr="00570F57" w:rsidRDefault="00EF5D25" w:rsidP="00EF5D25">
      <w:pPr>
        <w:numPr>
          <w:ilvl w:val="0"/>
          <w:numId w:val="6"/>
        </w:numPr>
        <w:spacing w:after="0"/>
        <w:jc w:val="both"/>
        <w:rPr>
          <w:rFonts w:ascii="Arial Narrow" w:hAnsi="Arial Narrow"/>
          <w:b/>
          <w:color w:val="000000" w:themeColor="text1"/>
          <w:lang w:val="es-MX"/>
        </w:rPr>
      </w:pPr>
      <w:r w:rsidRPr="00570F57">
        <w:rPr>
          <w:rFonts w:ascii="Arial Narrow" w:hAnsi="Arial Narrow"/>
          <w:b/>
          <w:color w:val="000000" w:themeColor="text1"/>
          <w:lang w:val="es-MX"/>
        </w:rPr>
        <w:t xml:space="preserve">En relación con la revisión de las metas reportadas en el informe relativo al cuarto trimestre de </w:t>
      </w:r>
      <w:smartTag w:uri="urn:schemas-microsoft-com:office:smarttags" w:element="metricconverter">
        <w:smartTagPr>
          <w:attr w:name="ProductID" w:val="2010, a"/>
        </w:smartTagPr>
        <w:r w:rsidRPr="00570F57">
          <w:rPr>
            <w:rFonts w:ascii="Arial Narrow" w:hAnsi="Arial Narrow"/>
            <w:b/>
            <w:color w:val="000000" w:themeColor="text1"/>
            <w:lang w:val="es-MX"/>
          </w:rPr>
          <w:t>2010, a</w:t>
        </w:r>
      </w:smartTag>
      <w:r w:rsidRPr="00570F57">
        <w:rPr>
          <w:rFonts w:ascii="Arial Narrow" w:hAnsi="Arial Narrow"/>
          <w:b/>
          <w:color w:val="000000" w:themeColor="text1"/>
          <w:lang w:val="es-MX"/>
        </w:rPr>
        <w:t xml:space="preserve"> través del formato EVTOP-03 denominado “Informe de Avance Programático”, se determinaron diferencias entre lo reportado como meta alcanzada y la validación realizada por los auditores del ISAF, en función de la documentación e información que fue proporcionada por el sujeto fiscalizado para llevarla a cabo, integrándose como sigue: </w:t>
      </w:r>
    </w:p>
    <w:tbl>
      <w:tblPr>
        <w:tblW w:w="8589" w:type="dxa"/>
        <w:jc w:val="center"/>
        <w:tblInd w:w="55" w:type="dxa"/>
        <w:tblCellMar>
          <w:left w:w="70" w:type="dxa"/>
          <w:right w:w="70" w:type="dxa"/>
        </w:tblCellMar>
        <w:tblLook w:val="0000"/>
      </w:tblPr>
      <w:tblGrid>
        <w:gridCol w:w="394"/>
        <w:gridCol w:w="365"/>
        <w:gridCol w:w="447"/>
        <w:gridCol w:w="430"/>
        <w:gridCol w:w="505"/>
        <w:gridCol w:w="454"/>
        <w:gridCol w:w="534"/>
        <w:gridCol w:w="2337"/>
        <w:gridCol w:w="781"/>
        <w:gridCol w:w="799"/>
        <w:gridCol w:w="768"/>
        <w:gridCol w:w="775"/>
      </w:tblGrid>
      <w:tr w:rsidR="00EF5D25" w:rsidRPr="00570F57" w:rsidTr="00BC2B4C">
        <w:trPr>
          <w:cantSplit/>
          <w:trHeight w:val="505"/>
          <w:jc w:val="center"/>
        </w:trPr>
        <w:tc>
          <w:tcPr>
            <w:tcW w:w="394"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UR</w:t>
            </w:r>
          </w:p>
        </w:tc>
        <w:tc>
          <w:tcPr>
            <w:tcW w:w="365"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ER</w:t>
            </w:r>
          </w:p>
        </w:tc>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EST</w:t>
            </w:r>
          </w:p>
        </w:tc>
        <w:tc>
          <w:tcPr>
            <w:tcW w:w="430"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FUN</w:t>
            </w:r>
          </w:p>
        </w:tc>
        <w:tc>
          <w:tcPr>
            <w:tcW w:w="505"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SUBF</w:t>
            </w:r>
          </w:p>
        </w:tc>
        <w:tc>
          <w:tcPr>
            <w:tcW w:w="454"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LA</w:t>
            </w:r>
          </w:p>
        </w:tc>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META</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Descripción</w:t>
            </w:r>
            <w:proofErr w:type="spellEnd"/>
            <w:r w:rsidRPr="00570F57">
              <w:rPr>
                <w:rFonts w:ascii="Arial Narrow" w:hAnsi="Arial Narrow" w:cs="Arial"/>
                <w:b/>
                <w:bCs/>
                <w:color w:val="000000" w:themeColor="text1"/>
                <w:sz w:val="16"/>
                <w:szCs w:val="16"/>
              </w:rPr>
              <w:t xml:space="preserve"> de la Meta</w:t>
            </w:r>
          </w:p>
        </w:tc>
        <w:tc>
          <w:tcPr>
            <w:tcW w:w="781" w:type="dxa"/>
            <w:tcBorders>
              <w:top w:val="single" w:sz="4" w:space="0" w:color="auto"/>
              <w:left w:val="single" w:sz="4" w:space="0" w:color="auto"/>
              <w:bottom w:val="single" w:sz="4" w:space="0" w:color="auto"/>
              <w:right w:val="nil"/>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Unidad</w:t>
            </w:r>
            <w:proofErr w:type="spellEnd"/>
            <w:r w:rsidRPr="00570F57">
              <w:rPr>
                <w:rFonts w:ascii="Arial Narrow" w:hAnsi="Arial Narrow" w:cs="Arial"/>
                <w:b/>
                <w:bCs/>
                <w:color w:val="000000" w:themeColor="text1"/>
                <w:sz w:val="16"/>
                <w:szCs w:val="16"/>
              </w:rPr>
              <w:t xml:space="preserve"> de </w:t>
            </w:r>
            <w:proofErr w:type="spellStart"/>
            <w:r w:rsidRPr="00570F57">
              <w:rPr>
                <w:rFonts w:ascii="Arial Narrow" w:hAnsi="Arial Narrow" w:cs="Arial"/>
                <w:b/>
                <w:bCs/>
                <w:color w:val="000000" w:themeColor="text1"/>
                <w:sz w:val="16"/>
                <w:szCs w:val="16"/>
              </w:rPr>
              <w:t>Medida</w:t>
            </w:r>
            <w:proofErr w:type="spellEnd"/>
          </w:p>
        </w:tc>
        <w:tc>
          <w:tcPr>
            <w:tcW w:w="799" w:type="dxa"/>
            <w:tcBorders>
              <w:top w:val="single" w:sz="4" w:space="0" w:color="auto"/>
              <w:left w:val="single" w:sz="4" w:space="0" w:color="auto"/>
              <w:bottom w:val="single" w:sz="4" w:space="0" w:color="000000"/>
              <w:right w:val="single" w:sz="4" w:space="0" w:color="auto"/>
            </w:tcBorders>
            <w:shd w:val="clear" w:color="auto" w:fill="auto"/>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 xml:space="preserve">Meta </w:t>
            </w:r>
            <w:proofErr w:type="spellStart"/>
            <w:r w:rsidRPr="00570F57">
              <w:rPr>
                <w:rFonts w:ascii="Arial Narrow" w:hAnsi="Arial Narrow" w:cs="Arial"/>
                <w:b/>
                <w:bCs/>
                <w:color w:val="000000" w:themeColor="text1"/>
                <w:sz w:val="16"/>
                <w:szCs w:val="16"/>
              </w:rPr>
              <w:t>Alcanzada</w:t>
            </w:r>
            <w:proofErr w:type="spellEnd"/>
          </w:p>
        </w:tc>
        <w:tc>
          <w:tcPr>
            <w:tcW w:w="768" w:type="dxa"/>
            <w:tcBorders>
              <w:top w:val="single" w:sz="4" w:space="0" w:color="auto"/>
              <w:left w:val="single" w:sz="4" w:space="0" w:color="auto"/>
              <w:right w:val="single" w:sz="4" w:space="0" w:color="auto"/>
            </w:tcBorders>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lang w:val="es-ES_tradnl"/>
              </w:rPr>
              <w:t>Meta Verificada</w:t>
            </w:r>
          </w:p>
        </w:tc>
        <w:tc>
          <w:tcPr>
            <w:tcW w:w="775" w:type="dxa"/>
            <w:tcBorders>
              <w:top w:val="single" w:sz="4" w:space="0" w:color="auto"/>
              <w:left w:val="single" w:sz="4" w:space="0" w:color="auto"/>
              <w:right w:val="single" w:sz="4" w:space="0" w:color="auto"/>
            </w:tcBorders>
            <w:vAlign w:val="bottom"/>
          </w:tcPr>
          <w:p w:rsidR="00EF5D25" w:rsidRPr="00570F57" w:rsidRDefault="00EF5D25"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lang w:val="es-ES_tradnl"/>
              </w:rPr>
              <w:t>Diferencia</w:t>
            </w:r>
          </w:p>
        </w:tc>
      </w:tr>
      <w:tr w:rsidR="00EF5D25" w:rsidRPr="00570F57" w:rsidTr="00BC2B4C">
        <w:trPr>
          <w:trHeight w:val="264"/>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bCs/>
                <w:color w:val="000000" w:themeColor="text1"/>
                <w:sz w:val="16"/>
                <w:szCs w:val="16"/>
              </w:rPr>
            </w:pPr>
            <w:r w:rsidRPr="00570F57">
              <w:rPr>
                <w:rFonts w:ascii="Arial Narrow" w:hAnsi="Arial Narrow" w:cs="Arial"/>
                <w:bCs/>
                <w:color w:val="000000" w:themeColor="text1"/>
                <w:sz w:val="16"/>
                <w:szCs w:val="16"/>
              </w:rPr>
              <w:t>03</w:t>
            </w:r>
          </w:p>
        </w:tc>
        <w:tc>
          <w:tcPr>
            <w:tcW w:w="365"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w:t>
            </w:r>
          </w:p>
        </w:tc>
        <w:tc>
          <w:tcPr>
            <w:tcW w:w="447"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w:t>
            </w:r>
          </w:p>
        </w:tc>
        <w:tc>
          <w:tcPr>
            <w:tcW w:w="430"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7</w:t>
            </w:r>
          </w:p>
        </w:tc>
        <w:tc>
          <w:tcPr>
            <w:tcW w:w="505"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03</w:t>
            </w:r>
          </w:p>
        </w:tc>
        <w:tc>
          <w:tcPr>
            <w:tcW w:w="454"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05</w:t>
            </w:r>
          </w:p>
        </w:tc>
        <w:tc>
          <w:tcPr>
            <w:tcW w:w="534"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02</w:t>
            </w:r>
          </w:p>
        </w:tc>
        <w:tc>
          <w:tcPr>
            <w:tcW w:w="2337"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tabs>
                <w:tab w:val="left" w:pos="1080"/>
              </w:tabs>
              <w:suppressAutoHyphens/>
              <w:jc w:val="both"/>
              <w:rPr>
                <w:rFonts w:ascii="Arial Narrow" w:hAnsi="Arial Narrow"/>
                <w:color w:val="000000" w:themeColor="text1"/>
                <w:sz w:val="16"/>
                <w:szCs w:val="16"/>
                <w:lang w:val="es-MX"/>
              </w:rPr>
            </w:pPr>
            <w:r w:rsidRPr="00570F57">
              <w:rPr>
                <w:rFonts w:ascii="Arial Narrow" w:hAnsi="Arial Narrow"/>
                <w:color w:val="000000" w:themeColor="text1"/>
                <w:sz w:val="16"/>
                <w:szCs w:val="16"/>
                <w:lang w:val="es-MX"/>
              </w:rPr>
              <w:t>Llevar a cabo eventos de consolidación de líderes vive libre.</w:t>
            </w:r>
          </w:p>
        </w:tc>
        <w:tc>
          <w:tcPr>
            <w:tcW w:w="781"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Evento</w:t>
            </w:r>
            <w:proofErr w:type="spellEnd"/>
          </w:p>
        </w:tc>
        <w:tc>
          <w:tcPr>
            <w:tcW w:w="799"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50</w:t>
            </w:r>
          </w:p>
        </w:tc>
        <w:tc>
          <w:tcPr>
            <w:tcW w:w="768" w:type="dxa"/>
            <w:tcBorders>
              <w:top w:val="single" w:sz="4" w:space="0" w:color="auto"/>
              <w:left w:val="nil"/>
              <w:bottom w:val="single" w:sz="4" w:space="0" w:color="auto"/>
              <w:right w:val="single" w:sz="4" w:space="0" w:color="auto"/>
            </w:tcBorders>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63</w:t>
            </w:r>
          </w:p>
        </w:tc>
        <w:tc>
          <w:tcPr>
            <w:tcW w:w="775" w:type="dxa"/>
            <w:tcBorders>
              <w:top w:val="single" w:sz="4" w:space="0" w:color="auto"/>
              <w:left w:val="nil"/>
              <w:bottom w:val="single" w:sz="4" w:space="0" w:color="auto"/>
              <w:right w:val="single" w:sz="4" w:space="0" w:color="auto"/>
            </w:tcBorders>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w:t>
            </w:r>
          </w:p>
        </w:tc>
      </w:tr>
      <w:tr w:rsidR="00EF5D25" w:rsidRPr="00570F57" w:rsidTr="00BC2B4C">
        <w:trPr>
          <w:trHeight w:val="264"/>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bCs/>
                <w:color w:val="000000" w:themeColor="text1"/>
                <w:sz w:val="16"/>
                <w:szCs w:val="16"/>
              </w:rPr>
            </w:pPr>
            <w:r w:rsidRPr="00570F57">
              <w:rPr>
                <w:rFonts w:ascii="Arial Narrow" w:hAnsi="Arial Narrow" w:cs="Arial"/>
                <w:bCs/>
                <w:color w:val="000000" w:themeColor="text1"/>
                <w:sz w:val="16"/>
                <w:szCs w:val="16"/>
              </w:rPr>
              <w:t>03</w:t>
            </w:r>
          </w:p>
        </w:tc>
        <w:tc>
          <w:tcPr>
            <w:tcW w:w="365"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w:t>
            </w:r>
          </w:p>
        </w:tc>
        <w:tc>
          <w:tcPr>
            <w:tcW w:w="447"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w:t>
            </w:r>
          </w:p>
        </w:tc>
        <w:tc>
          <w:tcPr>
            <w:tcW w:w="430"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7</w:t>
            </w:r>
          </w:p>
        </w:tc>
        <w:tc>
          <w:tcPr>
            <w:tcW w:w="505"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03</w:t>
            </w:r>
          </w:p>
        </w:tc>
        <w:tc>
          <w:tcPr>
            <w:tcW w:w="454"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07</w:t>
            </w:r>
          </w:p>
        </w:tc>
        <w:tc>
          <w:tcPr>
            <w:tcW w:w="534"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02</w:t>
            </w:r>
          </w:p>
        </w:tc>
        <w:tc>
          <w:tcPr>
            <w:tcW w:w="2337"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tabs>
                <w:tab w:val="left" w:pos="1080"/>
              </w:tabs>
              <w:suppressAutoHyphens/>
              <w:jc w:val="both"/>
              <w:rPr>
                <w:rFonts w:ascii="Arial Narrow" w:hAnsi="Arial Narrow"/>
                <w:color w:val="000000" w:themeColor="text1"/>
                <w:sz w:val="16"/>
                <w:szCs w:val="16"/>
                <w:lang w:val="es-MX"/>
              </w:rPr>
            </w:pPr>
            <w:r w:rsidRPr="00570F57">
              <w:rPr>
                <w:rFonts w:ascii="Arial Narrow" w:hAnsi="Arial Narrow"/>
                <w:color w:val="000000" w:themeColor="text1"/>
                <w:sz w:val="16"/>
                <w:szCs w:val="16"/>
                <w:lang w:val="es-MX"/>
              </w:rPr>
              <w:t>Atender a usuario de los centros poder joven.</w:t>
            </w:r>
          </w:p>
        </w:tc>
        <w:tc>
          <w:tcPr>
            <w:tcW w:w="781"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Usuarios</w:t>
            </w:r>
            <w:proofErr w:type="spellEnd"/>
          </w:p>
        </w:tc>
        <w:tc>
          <w:tcPr>
            <w:tcW w:w="799"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1600</w:t>
            </w:r>
          </w:p>
        </w:tc>
        <w:tc>
          <w:tcPr>
            <w:tcW w:w="768" w:type="dxa"/>
            <w:tcBorders>
              <w:top w:val="single" w:sz="4" w:space="0" w:color="auto"/>
              <w:left w:val="nil"/>
              <w:bottom w:val="single" w:sz="4" w:space="0" w:color="auto"/>
              <w:right w:val="single" w:sz="4" w:space="0" w:color="auto"/>
            </w:tcBorders>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1608</w:t>
            </w:r>
          </w:p>
        </w:tc>
        <w:tc>
          <w:tcPr>
            <w:tcW w:w="775" w:type="dxa"/>
            <w:tcBorders>
              <w:top w:val="single" w:sz="4" w:space="0" w:color="auto"/>
              <w:left w:val="nil"/>
              <w:bottom w:val="single" w:sz="4" w:space="0" w:color="auto"/>
              <w:right w:val="single" w:sz="4" w:space="0" w:color="auto"/>
            </w:tcBorders>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-8</w:t>
            </w:r>
          </w:p>
        </w:tc>
      </w:tr>
      <w:tr w:rsidR="00EF5D25" w:rsidRPr="00570F57" w:rsidTr="00BC2B4C">
        <w:trPr>
          <w:trHeight w:val="264"/>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bCs/>
                <w:color w:val="000000" w:themeColor="text1"/>
                <w:sz w:val="16"/>
                <w:szCs w:val="16"/>
              </w:rPr>
            </w:pPr>
            <w:r w:rsidRPr="00570F57">
              <w:rPr>
                <w:rFonts w:ascii="Arial Narrow" w:hAnsi="Arial Narrow" w:cs="Arial"/>
                <w:bCs/>
                <w:color w:val="000000" w:themeColor="text1"/>
                <w:sz w:val="16"/>
                <w:szCs w:val="16"/>
              </w:rPr>
              <w:t>03</w:t>
            </w:r>
          </w:p>
        </w:tc>
        <w:tc>
          <w:tcPr>
            <w:tcW w:w="365"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w:t>
            </w:r>
          </w:p>
        </w:tc>
        <w:tc>
          <w:tcPr>
            <w:tcW w:w="447"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w:t>
            </w:r>
          </w:p>
        </w:tc>
        <w:tc>
          <w:tcPr>
            <w:tcW w:w="430"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7</w:t>
            </w:r>
          </w:p>
        </w:tc>
        <w:tc>
          <w:tcPr>
            <w:tcW w:w="505"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03</w:t>
            </w:r>
          </w:p>
        </w:tc>
        <w:tc>
          <w:tcPr>
            <w:tcW w:w="454"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09</w:t>
            </w:r>
          </w:p>
        </w:tc>
        <w:tc>
          <w:tcPr>
            <w:tcW w:w="534"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02</w:t>
            </w:r>
          </w:p>
        </w:tc>
        <w:tc>
          <w:tcPr>
            <w:tcW w:w="2337"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tabs>
                <w:tab w:val="left" w:pos="1080"/>
              </w:tabs>
              <w:suppressAutoHyphens/>
              <w:jc w:val="both"/>
              <w:rPr>
                <w:rFonts w:ascii="Arial Narrow" w:hAnsi="Arial Narrow"/>
                <w:color w:val="000000" w:themeColor="text1"/>
                <w:sz w:val="16"/>
                <w:szCs w:val="16"/>
                <w:lang w:val="es-MX"/>
              </w:rPr>
            </w:pPr>
            <w:r w:rsidRPr="00570F57">
              <w:rPr>
                <w:rFonts w:ascii="Arial Narrow" w:hAnsi="Arial Narrow"/>
                <w:color w:val="000000" w:themeColor="text1"/>
                <w:sz w:val="16"/>
                <w:szCs w:val="16"/>
                <w:lang w:val="es-MX"/>
              </w:rPr>
              <w:t>Atender a jóvenes en talleres de prevención de embarazo en adolecentes con dinámicas vivenciales (PAIDEA).</w:t>
            </w:r>
          </w:p>
        </w:tc>
        <w:tc>
          <w:tcPr>
            <w:tcW w:w="781"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Jóvenes</w:t>
            </w:r>
            <w:proofErr w:type="spellEnd"/>
          </w:p>
        </w:tc>
        <w:tc>
          <w:tcPr>
            <w:tcW w:w="799" w:type="dxa"/>
            <w:tcBorders>
              <w:top w:val="single" w:sz="4" w:space="0" w:color="auto"/>
              <w:left w:val="nil"/>
              <w:bottom w:val="single" w:sz="4" w:space="0" w:color="auto"/>
              <w:right w:val="single" w:sz="4" w:space="0" w:color="auto"/>
            </w:tcBorders>
            <w:shd w:val="clear" w:color="auto" w:fill="auto"/>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1800</w:t>
            </w:r>
          </w:p>
        </w:tc>
        <w:tc>
          <w:tcPr>
            <w:tcW w:w="768" w:type="dxa"/>
            <w:tcBorders>
              <w:top w:val="single" w:sz="4" w:space="0" w:color="auto"/>
              <w:left w:val="nil"/>
              <w:bottom w:val="single" w:sz="4" w:space="0" w:color="auto"/>
              <w:right w:val="single" w:sz="4" w:space="0" w:color="auto"/>
            </w:tcBorders>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1835</w:t>
            </w:r>
          </w:p>
        </w:tc>
        <w:tc>
          <w:tcPr>
            <w:tcW w:w="775" w:type="dxa"/>
            <w:tcBorders>
              <w:top w:val="single" w:sz="4" w:space="0" w:color="auto"/>
              <w:left w:val="nil"/>
              <w:bottom w:val="single" w:sz="4" w:space="0" w:color="auto"/>
              <w:right w:val="single" w:sz="4" w:space="0" w:color="auto"/>
            </w:tcBorders>
          </w:tcPr>
          <w:p w:rsidR="00EF5D25" w:rsidRPr="00570F57" w:rsidRDefault="00EF5D25"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w:t>
            </w:r>
          </w:p>
        </w:tc>
      </w:tr>
    </w:tbl>
    <w:p w:rsidR="003E3B94" w:rsidRPr="00570F57" w:rsidRDefault="003E3B94" w:rsidP="00EF5D25">
      <w:pPr>
        <w:pStyle w:val="NormalWeb"/>
        <w:ind w:left="1276"/>
        <w:contextualSpacing/>
        <w:rPr>
          <w:rFonts w:ascii="Arial Narrow" w:hAnsi="Arial Narrow"/>
          <w:b/>
          <w:bCs/>
          <w:color w:val="000000" w:themeColor="text1"/>
          <w:sz w:val="26"/>
          <w:szCs w:val="26"/>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4"/>
        <w:gridCol w:w="2900"/>
        <w:gridCol w:w="3163"/>
      </w:tblGrid>
      <w:tr w:rsidR="00041B68" w:rsidRPr="00570F57" w:rsidTr="003E3B94">
        <w:trPr>
          <w:trHeight w:val="572"/>
        </w:trPr>
        <w:tc>
          <w:tcPr>
            <w:tcW w:w="675" w:type="dxa"/>
            <w:shd w:val="clear" w:color="auto" w:fill="CCCCCC"/>
            <w:vAlign w:val="center"/>
          </w:tcPr>
          <w:p w:rsidR="00041B68" w:rsidRPr="00570F57" w:rsidRDefault="003E3B94" w:rsidP="00041B68">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No</w:t>
            </w:r>
            <w:r w:rsidR="00041B68" w:rsidRPr="00570F57">
              <w:rPr>
                <w:rFonts w:ascii="Arial" w:hAnsi="Arial" w:cs="Arial"/>
                <w:b/>
                <w:color w:val="000000" w:themeColor="text1"/>
                <w:sz w:val="20"/>
                <w:szCs w:val="20"/>
                <w:lang w:val="es-MX"/>
              </w:rPr>
              <w:t>.</w:t>
            </w:r>
          </w:p>
        </w:tc>
        <w:tc>
          <w:tcPr>
            <w:tcW w:w="3314" w:type="dxa"/>
            <w:shd w:val="clear" w:color="auto" w:fill="CCCCCC"/>
            <w:vAlign w:val="center"/>
          </w:tcPr>
          <w:p w:rsidR="00041B68" w:rsidRPr="00570F57" w:rsidRDefault="00041B68" w:rsidP="003E3B94">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2900" w:type="dxa"/>
            <w:shd w:val="clear" w:color="auto" w:fill="CCCCCC"/>
          </w:tcPr>
          <w:p w:rsidR="003E3B94" w:rsidRPr="00570F57" w:rsidRDefault="003E3B94" w:rsidP="003E3B94">
            <w:pPr>
              <w:jc w:val="center"/>
              <w:rPr>
                <w:rFonts w:ascii="Arial" w:hAnsi="Arial" w:cs="Arial"/>
                <w:b/>
                <w:color w:val="000000" w:themeColor="text1"/>
                <w:sz w:val="20"/>
                <w:szCs w:val="20"/>
                <w:lang w:val="es-MX"/>
              </w:rPr>
            </w:pPr>
          </w:p>
          <w:p w:rsidR="00041B68" w:rsidRPr="00570F57" w:rsidRDefault="00041B68" w:rsidP="003E3B94">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3163" w:type="dxa"/>
            <w:shd w:val="clear" w:color="auto" w:fill="CCCCCC"/>
            <w:vAlign w:val="center"/>
          </w:tcPr>
          <w:p w:rsidR="00041B68" w:rsidRPr="00570F57" w:rsidRDefault="00041B68" w:rsidP="003E3B94">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041B68" w:rsidRPr="00BA748E" w:rsidTr="003E3B94">
        <w:trPr>
          <w:trHeight w:val="182"/>
        </w:trPr>
        <w:tc>
          <w:tcPr>
            <w:tcW w:w="675" w:type="dxa"/>
            <w:vAlign w:val="center"/>
          </w:tcPr>
          <w:p w:rsidR="00041B68" w:rsidRPr="00570F57" w:rsidRDefault="00F71160" w:rsidP="00041B68">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1</w:t>
            </w:r>
          </w:p>
        </w:tc>
        <w:tc>
          <w:tcPr>
            <w:tcW w:w="3314" w:type="dxa"/>
          </w:tcPr>
          <w:p w:rsidR="00041B68" w:rsidRPr="00570F57" w:rsidRDefault="00E66203" w:rsidP="003E3B94">
            <w:pPr>
              <w:spacing w:after="0"/>
              <w:ind w:left="33"/>
              <w:jc w:val="both"/>
              <w:rPr>
                <w:rFonts w:ascii="Arial Narrow" w:hAnsi="Arial Narrow" w:cs="Arial"/>
                <w:color w:val="000000" w:themeColor="text1"/>
                <w:lang w:val="es-MX"/>
              </w:rPr>
            </w:pPr>
            <w:r w:rsidRPr="00570F57">
              <w:rPr>
                <w:rFonts w:ascii="Arial Narrow" w:hAnsi="Arial Narrow"/>
                <w:color w:val="000000" w:themeColor="text1"/>
                <w:lang w:val="es-MX"/>
              </w:rPr>
              <w:t xml:space="preserve">13.- </w:t>
            </w:r>
            <w:r w:rsidR="00F71160" w:rsidRPr="00570F57">
              <w:rPr>
                <w:rFonts w:ascii="Arial Narrow" w:hAnsi="Arial Narrow"/>
                <w:color w:val="000000" w:themeColor="text1"/>
                <w:lang w:val="es-MX"/>
              </w:rPr>
              <w:t xml:space="preserve">En relación con la revisión de las metas reportadas en el informe relativo al cuarto trimestre de </w:t>
            </w:r>
            <w:smartTag w:uri="urn:schemas-microsoft-com:office:smarttags" w:element="metricconverter">
              <w:smartTagPr>
                <w:attr w:name="ProductID" w:val="2010, a"/>
              </w:smartTagPr>
              <w:r w:rsidR="00F71160" w:rsidRPr="00570F57">
                <w:rPr>
                  <w:rFonts w:ascii="Arial Narrow" w:hAnsi="Arial Narrow"/>
                  <w:color w:val="000000" w:themeColor="text1"/>
                  <w:lang w:val="es-MX"/>
                </w:rPr>
                <w:t>2010, a</w:t>
              </w:r>
            </w:smartTag>
            <w:r w:rsidR="00F71160" w:rsidRPr="00570F57">
              <w:rPr>
                <w:rFonts w:ascii="Arial Narrow" w:hAnsi="Arial Narrow"/>
                <w:color w:val="000000" w:themeColor="text1"/>
                <w:lang w:val="es-MX"/>
              </w:rPr>
              <w:t xml:space="preserve"> través del formato EVTOP-03 denominado “Informe de Avance Programático”, se determinaron diferencias entre lo reportado como meta alcanzada y la validación realizada por los auditores del ISAF, en función de la documentación e información que fue proporcionada por el sujeto fiscalizado para llevarla a cabo,</w:t>
            </w:r>
          </w:p>
        </w:tc>
        <w:tc>
          <w:tcPr>
            <w:tcW w:w="2900" w:type="dxa"/>
          </w:tcPr>
          <w:p w:rsidR="00041B68" w:rsidRPr="00570F57" w:rsidRDefault="00032385" w:rsidP="003E3B94">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Efectivamente se reportaron metas alcanzadas que difieren del soporte documental proporcionado durante la revisión debido a la implementación de un procedimiento de revisión  de cumplimiento de metas y recolección de evidencias de las coordinaciones correspondientes.  Los responsables de las coordinaciones reportaron números redondos, debido a que se enfocaron a manifestar el cumplimiento y no reportaron la cifra exacta.</w:t>
            </w:r>
          </w:p>
        </w:tc>
        <w:tc>
          <w:tcPr>
            <w:tcW w:w="3163" w:type="dxa"/>
          </w:tcPr>
          <w:p w:rsidR="00041B68" w:rsidRPr="00570F57" w:rsidRDefault="00032385" w:rsidP="003E3B94">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Se llevo a cabo una reunión y capacitación para re-implementar el procedimiento, donde se presentaron las faltas, su motivo y la manera de evitar su reincidencia.</w:t>
            </w:r>
          </w:p>
          <w:p w:rsidR="00032385" w:rsidRPr="00570F57" w:rsidRDefault="00032385" w:rsidP="003E3B94">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De igual manera se elaboro un formato para el reporte parcial homogéneo, entregas de evidencias previas parciales y entrega final con firma y evidencias a la fecha establecida. (se anexa dicho formato en el </w:t>
            </w:r>
            <w:r w:rsidRPr="00570F57">
              <w:rPr>
                <w:rFonts w:ascii="Arial Narrow" w:hAnsi="Arial Narrow" w:cs="Arial"/>
                <w:b/>
                <w:color w:val="000000" w:themeColor="text1"/>
                <w:lang w:val="es-MX"/>
              </w:rPr>
              <w:t>apartado # 1</w:t>
            </w:r>
            <w:r w:rsidRPr="00570F57">
              <w:rPr>
                <w:rFonts w:ascii="Arial Narrow" w:hAnsi="Arial Narrow" w:cs="Arial"/>
                <w:color w:val="000000" w:themeColor="text1"/>
                <w:lang w:val="es-MX"/>
              </w:rPr>
              <w:t>)</w:t>
            </w:r>
          </w:p>
          <w:p w:rsidR="00032385" w:rsidRPr="00570F57" w:rsidRDefault="00032385" w:rsidP="003E3B94">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También se anexa copia del oficio enviado al Director de Estudios y Proyectos, con el fin de tomar las medidas pertinentes para evitar este tipo de observaciones.</w:t>
            </w:r>
          </w:p>
        </w:tc>
      </w:tr>
    </w:tbl>
    <w:p w:rsidR="00041B68" w:rsidRPr="00570F57" w:rsidRDefault="00041B68" w:rsidP="00041B68">
      <w:pPr>
        <w:spacing w:after="0"/>
        <w:ind w:left="1276"/>
        <w:jc w:val="both"/>
        <w:rPr>
          <w:rFonts w:ascii="Arial Narrow" w:eastAsia="Times New Roman" w:hAnsi="Arial Narrow" w:cs="Arial"/>
          <w:b/>
          <w:bCs/>
          <w:color w:val="000000" w:themeColor="text1"/>
          <w:lang w:val="es-MX" w:eastAsia="es-MX"/>
        </w:rPr>
      </w:pPr>
    </w:p>
    <w:p w:rsidR="00041B68" w:rsidRPr="00570F57" w:rsidRDefault="00041B68" w:rsidP="00041B68">
      <w:pPr>
        <w:spacing w:after="0"/>
        <w:ind w:left="1276"/>
        <w:jc w:val="both"/>
        <w:rPr>
          <w:rFonts w:ascii="Arial Narrow" w:eastAsia="Times New Roman" w:hAnsi="Arial Narrow" w:cs="Arial"/>
          <w:b/>
          <w:bCs/>
          <w:color w:val="000000" w:themeColor="text1"/>
          <w:lang w:val="es-MX" w:eastAsia="es-MX"/>
        </w:rPr>
      </w:pPr>
    </w:p>
    <w:p w:rsidR="00F71160" w:rsidRPr="00570F57" w:rsidRDefault="00F71160" w:rsidP="00041B68">
      <w:pPr>
        <w:spacing w:after="0"/>
        <w:ind w:left="1276"/>
        <w:jc w:val="both"/>
        <w:rPr>
          <w:rFonts w:ascii="Arial Narrow" w:eastAsia="Times New Roman" w:hAnsi="Arial Narrow" w:cs="Arial"/>
          <w:b/>
          <w:bCs/>
          <w:color w:val="000000" w:themeColor="text1"/>
          <w:lang w:val="es-MX" w:eastAsia="es-MX"/>
        </w:rPr>
      </w:pPr>
    </w:p>
    <w:p w:rsidR="00F71160" w:rsidRPr="00570F57" w:rsidRDefault="00F71160" w:rsidP="00041B68">
      <w:pPr>
        <w:spacing w:after="0"/>
        <w:ind w:left="1276"/>
        <w:jc w:val="both"/>
        <w:rPr>
          <w:rFonts w:ascii="Arial Narrow" w:eastAsia="Times New Roman" w:hAnsi="Arial Narrow" w:cs="Arial"/>
          <w:b/>
          <w:bCs/>
          <w:color w:val="000000" w:themeColor="text1"/>
          <w:lang w:val="es-MX" w:eastAsia="es-MX"/>
        </w:rPr>
      </w:pPr>
    </w:p>
    <w:p w:rsidR="00F71160" w:rsidRPr="00570F57" w:rsidRDefault="00F71160" w:rsidP="00041B68">
      <w:pPr>
        <w:spacing w:after="0"/>
        <w:ind w:left="1276"/>
        <w:jc w:val="both"/>
        <w:rPr>
          <w:rFonts w:ascii="Arial Narrow" w:eastAsia="Times New Roman" w:hAnsi="Arial Narrow" w:cs="Arial"/>
          <w:b/>
          <w:bCs/>
          <w:color w:val="000000" w:themeColor="text1"/>
          <w:lang w:val="es-MX" w:eastAsia="es-MX"/>
        </w:rPr>
      </w:pPr>
    </w:p>
    <w:p w:rsidR="00041B68" w:rsidRPr="00570F57" w:rsidRDefault="00041B68" w:rsidP="00041B68">
      <w:pPr>
        <w:spacing w:after="0"/>
        <w:ind w:left="1276"/>
        <w:jc w:val="both"/>
        <w:rPr>
          <w:rFonts w:ascii="Arial Narrow" w:eastAsia="Times New Roman" w:hAnsi="Arial Narrow" w:cs="Arial"/>
          <w:b/>
          <w:bCs/>
          <w:color w:val="000000" w:themeColor="text1"/>
          <w:lang w:val="es-MX" w:eastAsia="es-MX"/>
        </w:rPr>
      </w:pPr>
    </w:p>
    <w:p w:rsidR="00F71160" w:rsidRPr="00570F57" w:rsidRDefault="00F71160" w:rsidP="00F71160">
      <w:pPr>
        <w:numPr>
          <w:ilvl w:val="0"/>
          <w:numId w:val="6"/>
        </w:numPr>
        <w:spacing w:after="0"/>
        <w:jc w:val="both"/>
        <w:rPr>
          <w:rFonts w:ascii="Arial Narrow" w:hAnsi="Arial Narrow"/>
          <w:b/>
          <w:color w:val="000000" w:themeColor="text1"/>
          <w:lang w:val="es-MX"/>
        </w:rPr>
      </w:pPr>
      <w:r w:rsidRPr="00570F57">
        <w:rPr>
          <w:rFonts w:ascii="Arial Narrow" w:hAnsi="Arial Narrow"/>
          <w:b/>
          <w:color w:val="000000" w:themeColor="text1"/>
          <w:lang w:val="es-MX"/>
        </w:rPr>
        <w:t>Al 31 de diciembre de 2010 se determinó una diferencia no aclarada por el sujeto fiscalizado por $89,961, derivada de comparar el importe de las adquisiciones realizadas en el período de enero a diciembre de 2010 registradas en las cuentas de Activo Fijo que ascienden a $675,534 contra lo registrado en el capítulo 5000 “Bienes Muebles e Inmuebles” por $585,573.</w:t>
      </w:r>
    </w:p>
    <w:p w:rsidR="00041B68" w:rsidRPr="00570F57" w:rsidRDefault="00041B68" w:rsidP="00F71160">
      <w:pPr>
        <w:spacing w:after="0"/>
        <w:jc w:val="both"/>
        <w:rPr>
          <w:rFonts w:ascii="Arial Narrow" w:eastAsia="Times New Roman" w:hAnsi="Arial Narrow" w:cs="Arial"/>
          <w:b/>
          <w:bCs/>
          <w:color w:val="000000" w:themeColor="text1"/>
          <w:lang w:val="es-MX" w:eastAsia="es-MX"/>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4111"/>
        <w:gridCol w:w="2431"/>
      </w:tblGrid>
      <w:tr w:rsidR="003E3B94" w:rsidRPr="00570F57" w:rsidTr="003C39B6">
        <w:trPr>
          <w:trHeight w:val="572"/>
        </w:trPr>
        <w:tc>
          <w:tcPr>
            <w:tcW w:w="675" w:type="dxa"/>
            <w:shd w:val="clear" w:color="auto" w:fill="CCCCCC"/>
            <w:vAlign w:val="center"/>
          </w:tcPr>
          <w:p w:rsidR="003E3B94" w:rsidRPr="00570F57" w:rsidRDefault="003E3B94"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No.</w:t>
            </w:r>
          </w:p>
        </w:tc>
        <w:tc>
          <w:tcPr>
            <w:tcW w:w="2835" w:type="dxa"/>
            <w:shd w:val="clear" w:color="auto" w:fill="CCCCCC"/>
            <w:vAlign w:val="center"/>
          </w:tcPr>
          <w:p w:rsidR="003E3B94" w:rsidRPr="00570F57" w:rsidRDefault="003E3B94" w:rsidP="00BC2B4C">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4111" w:type="dxa"/>
            <w:shd w:val="clear" w:color="auto" w:fill="CCCCCC"/>
          </w:tcPr>
          <w:p w:rsidR="003E3B94" w:rsidRPr="00570F57" w:rsidRDefault="003E3B94" w:rsidP="00BC2B4C">
            <w:pPr>
              <w:jc w:val="center"/>
              <w:rPr>
                <w:rFonts w:ascii="Arial" w:hAnsi="Arial" w:cs="Arial"/>
                <w:b/>
                <w:color w:val="000000" w:themeColor="text1"/>
                <w:sz w:val="20"/>
                <w:szCs w:val="20"/>
                <w:lang w:val="es-MX"/>
              </w:rPr>
            </w:pPr>
          </w:p>
          <w:p w:rsidR="003E3B94" w:rsidRPr="00570F57" w:rsidRDefault="003E3B94"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2431" w:type="dxa"/>
            <w:shd w:val="clear" w:color="auto" w:fill="CCCCCC"/>
            <w:vAlign w:val="center"/>
          </w:tcPr>
          <w:p w:rsidR="003E3B94" w:rsidRPr="00570F57" w:rsidRDefault="003E3B94" w:rsidP="00BC2B4C">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3E3B94" w:rsidRPr="00BA748E" w:rsidTr="003C39B6">
        <w:trPr>
          <w:trHeight w:val="182"/>
        </w:trPr>
        <w:tc>
          <w:tcPr>
            <w:tcW w:w="675" w:type="dxa"/>
            <w:vAlign w:val="center"/>
          </w:tcPr>
          <w:p w:rsidR="003E3B94" w:rsidRPr="00570F57" w:rsidRDefault="00F71160" w:rsidP="00BC2B4C">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2</w:t>
            </w:r>
          </w:p>
        </w:tc>
        <w:tc>
          <w:tcPr>
            <w:tcW w:w="2835" w:type="dxa"/>
          </w:tcPr>
          <w:p w:rsidR="00F71160" w:rsidRPr="00570F57" w:rsidRDefault="00E66203" w:rsidP="00F71160">
            <w:pPr>
              <w:spacing w:after="0"/>
              <w:jc w:val="both"/>
              <w:rPr>
                <w:rFonts w:ascii="Arial Narrow" w:hAnsi="Arial Narrow"/>
                <w:color w:val="000000" w:themeColor="text1"/>
                <w:lang w:val="es-MX"/>
              </w:rPr>
            </w:pPr>
            <w:r w:rsidRPr="00570F57">
              <w:rPr>
                <w:rFonts w:ascii="Arial Narrow" w:hAnsi="Arial Narrow"/>
                <w:color w:val="000000" w:themeColor="text1"/>
                <w:lang w:val="es-MX"/>
              </w:rPr>
              <w:t xml:space="preserve">14.- </w:t>
            </w:r>
            <w:r w:rsidR="00F71160" w:rsidRPr="00570F57">
              <w:rPr>
                <w:rFonts w:ascii="Arial Narrow" w:hAnsi="Arial Narrow"/>
                <w:color w:val="000000" w:themeColor="text1"/>
                <w:lang w:val="es-MX"/>
              </w:rPr>
              <w:t xml:space="preserve">Al 31 de diciembre de 2010 se determinó una diferencia no aclarada por el sujeto fiscalizado por $89,961, derivada de comparar el importe de las adquisiciones realizadas en el período de enero a diciembre de 2010 registradas en las cuentas de Activo Fijo que ascienden a $675,534 contra lo registrado en el </w:t>
            </w:r>
            <w:r w:rsidRPr="00570F57">
              <w:rPr>
                <w:rFonts w:ascii="Arial Narrow" w:hAnsi="Arial Narrow"/>
                <w:color w:val="000000" w:themeColor="text1"/>
                <w:lang w:val="es-MX"/>
              </w:rPr>
              <w:t>capítulo</w:t>
            </w:r>
            <w:r w:rsidR="00F71160" w:rsidRPr="00570F57">
              <w:rPr>
                <w:rFonts w:ascii="Arial Narrow" w:hAnsi="Arial Narrow"/>
                <w:color w:val="000000" w:themeColor="text1"/>
                <w:lang w:val="es-MX"/>
              </w:rPr>
              <w:t xml:space="preserve"> 5000 “Bienes Muebles e Inmuebles” por $585,573.</w:t>
            </w:r>
          </w:p>
          <w:p w:rsidR="003E3B94" w:rsidRPr="00570F57" w:rsidRDefault="003E3B94" w:rsidP="00BC2B4C">
            <w:pPr>
              <w:spacing w:after="0"/>
              <w:ind w:left="33"/>
              <w:jc w:val="both"/>
              <w:rPr>
                <w:rFonts w:ascii="Arial Narrow" w:hAnsi="Arial Narrow" w:cs="Arial"/>
                <w:color w:val="000000" w:themeColor="text1"/>
                <w:lang w:val="es-MX"/>
              </w:rPr>
            </w:pPr>
          </w:p>
        </w:tc>
        <w:tc>
          <w:tcPr>
            <w:tcW w:w="4111" w:type="dxa"/>
          </w:tcPr>
          <w:p w:rsidR="00816409" w:rsidRPr="00570F57" w:rsidRDefault="00816409" w:rsidP="00BC2B4C">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Efectivamente, a simple vista vemos una diferencia entre el Activo Fijo y el capítulo del gasto 5000, por lo que se desconoce de donde salieron </w:t>
            </w:r>
            <w:r w:rsidR="00A71DA4" w:rsidRPr="00570F57">
              <w:rPr>
                <w:rFonts w:ascii="Arial Narrow" w:hAnsi="Arial Narrow" w:cs="Arial"/>
                <w:color w:val="000000" w:themeColor="text1"/>
                <w:lang w:val="es-MX"/>
              </w:rPr>
              <w:t xml:space="preserve">las cantidades que nos muestran en la observación, ya que </w:t>
            </w:r>
            <w:r w:rsidRPr="00570F57">
              <w:rPr>
                <w:rFonts w:ascii="Arial Narrow" w:hAnsi="Arial Narrow" w:cs="Arial"/>
                <w:color w:val="000000" w:themeColor="text1"/>
                <w:lang w:val="es-MX"/>
              </w:rPr>
              <w:t xml:space="preserve"> al momento de analizar los registros contables, efectivamente existe una diferencia pero esta es con diferentes saldos.</w:t>
            </w:r>
          </w:p>
          <w:p w:rsidR="003E3B94" w:rsidRPr="00570F57" w:rsidRDefault="00816409" w:rsidP="00BC2B4C">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En referencia al Activo Fijo el total  </w:t>
            </w:r>
            <w:r w:rsidR="000D1ADB" w:rsidRPr="00570F57">
              <w:rPr>
                <w:rFonts w:ascii="Arial Narrow" w:hAnsi="Arial Narrow" w:cs="Arial"/>
                <w:color w:val="000000" w:themeColor="text1"/>
                <w:lang w:val="es-MX"/>
              </w:rPr>
              <w:t>es por $662,664.10 y en el capítulo 5000 por un total de $583,574.69, dando una diferencia de $ 79,089.41.</w:t>
            </w:r>
          </w:p>
          <w:p w:rsidR="000D1ADB" w:rsidRPr="00570F57" w:rsidRDefault="000D1ADB" w:rsidP="00BC2B4C">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Esta diferencia se debió a un error ya que el 2009 se compro mobiliario y equipo </w:t>
            </w:r>
            <w:r w:rsidR="008F4DA3" w:rsidRPr="00570F57">
              <w:rPr>
                <w:rFonts w:ascii="Arial Narrow" w:hAnsi="Arial Narrow" w:cs="Arial"/>
                <w:color w:val="000000" w:themeColor="text1"/>
                <w:lang w:val="es-MX"/>
              </w:rPr>
              <w:t xml:space="preserve">por un total de $31,091.50 el cual </w:t>
            </w:r>
            <w:r w:rsidRPr="00570F57">
              <w:rPr>
                <w:rFonts w:ascii="Arial Narrow" w:hAnsi="Arial Narrow" w:cs="Arial"/>
                <w:color w:val="000000" w:themeColor="text1"/>
                <w:lang w:val="es-MX"/>
              </w:rPr>
              <w:t xml:space="preserve">fue donado al Espacio Poder Joven de San Luis, </w:t>
            </w:r>
            <w:r w:rsidR="00E17FF2" w:rsidRPr="00570F57">
              <w:rPr>
                <w:rFonts w:ascii="Arial Narrow" w:hAnsi="Arial Narrow" w:cs="Arial"/>
                <w:color w:val="000000" w:themeColor="text1"/>
                <w:lang w:val="es-MX"/>
              </w:rPr>
              <w:t xml:space="preserve">el cual por error se dio de alta en el inventario de activos fijos, posteriormente se hizo la reclasificación  mediante </w:t>
            </w:r>
            <w:r w:rsidR="008F4DA3" w:rsidRPr="00570F57">
              <w:rPr>
                <w:rFonts w:ascii="Arial Narrow" w:hAnsi="Arial Narrow" w:cs="Arial"/>
                <w:color w:val="000000" w:themeColor="text1"/>
                <w:lang w:val="es-MX"/>
              </w:rPr>
              <w:t>póliza PD-20 del 31 de Mayo del 2010.</w:t>
            </w:r>
            <w:r w:rsidRPr="00570F57">
              <w:rPr>
                <w:rFonts w:ascii="Arial Narrow" w:hAnsi="Arial Narrow" w:cs="Arial"/>
                <w:color w:val="000000" w:themeColor="text1"/>
                <w:lang w:val="es-MX"/>
              </w:rPr>
              <w:t xml:space="preserve"> </w:t>
            </w:r>
          </w:p>
          <w:p w:rsidR="00710868" w:rsidRPr="00570F57" w:rsidRDefault="008F4DA3" w:rsidP="009D062B">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Así mismo en el 2010 se hizo la reclasificación por la adquisición de unas computadoras con valor de $ 47,997.91 y que </w:t>
            </w:r>
            <w:r w:rsidR="001328DF" w:rsidRPr="00570F57">
              <w:rPr>
                <w:rFonts w:ascii="Arial Narrow" w:hAnsi="Arial Narrow" w:cs="Arial"/>
                <w:color w:val="000000" w:themeColor="text1"/>
                <w:lang w:val="es-MX"/>
              </w:rPr>
              <w:t xml:space="preserve">en el 2009 se </w:t>
            </w:r>
            <w:r w:rsidRPr="00570F57">
              <w:rPr>
                <w:rFonts w:ascii="Arial Narrow" w:hAnsi="Arial Narrow" w:cs="Arial"/>
                <w:color w:val="000000" w:themeColor="text1"/>
                <w:lang w:val="es-MX"/>
              </w:rPr>
              <w:t>registra</w:t>
            </w:r>
            <w:r w:rsidR="001328DF" w:rsidRPr="00570F57">
              <w:rPr>
                <w:rFonts w:ascii="Arial Narrow" w:hAnsi="Arial Narrow" w:cs="Arial"/>
                <w:color w:val="000000" w:themeColor="text1"/>
                <w:lang w:val="es-MX"/>
              </w:rPr>
              <w:t xml:space="preserve">ron </w:t>
            </w:r>
            <w:r w:rsidRPr="00570F57">
              <w:rPr>
                <w:rFonts w:ascii="Arial Narrow" w:hAnsi="Arial Narrow" w:cs="Arial"/>
                <w:color w:val="000000" w:themeColor="text1"/>
                <w:lang w:val="es-MX"/>
              </w:rPr>
              <w:t>en mobiliario y equipo de oficina</w:t>
            </w:r>
            <w:r w:rsidR="001328DF" w:rsidRPr="00570F57">
              <w:rPr>
                <w:rFonts w:ascii="Arial Narrow" w:hAnsi="Arial Narrow" w:cs="Arial"/>
                <w:color w:val="000000" w:themeColor="text1"/>
                <w:lang w:val="es-MX"/>
              </w:rPr>
              <w:t>, por lo que e</w:t>
            </w:r>
            <w:r w:rsidRPr="00570F57">
              <w:rPr>
                <w:rFonts w:ascii="Arial Narrow" w:hAnsi="Arial Narrow" w:cs="Arial"/>
                <w:color w:val="000000" w:themeColor="text1"/>
                <w:lang w:val="es-MX"/>
              </w:rPr>
              <w:t xml:space="preserve">n el 2010 </w:t>
            </w:r>
            <w:r w:rsidR="001328DF" w:rsidRPr="00570F57">
              <w:rPr>
                <w:rFonts w:ascii="Arial Narrow" w:hAnsi="Arial Narrow" w:cs="Arial"/>
                <w:color w:val="000000" w:themeColor="text1"/>
                <w:lang w:val="es-MX"/>
              </w:rPr>
              <w:t xml:space="preserve">se registro correctamente </w:t>
            </w:r>
            <w:r w:rsidR="009D062B" w:rsidRPr="00570F57">
              <w:rPr>
                <w:rFonts w:ascii="Arial Narrow" w:hAnsi="Arial Narrow" w:cs="Arial"/>
                <w:color w:val="000000" w:themeColor="text1"/>
                <w:lang w:val="es-MX"/>
              </w:rPr>
              <w:t>en la cuenta “Equipo de Computación E</w:t>
            </w:r>
            <w:r w:rsidRPr="00570F57">
              <w:rPr>
                <w:rFonts w:ascii="Arial Narrow" w:hAnsi="Arial Narrow" w:cs="Arial"/>
                <w:color w:val="000000" w:themeColor="text1"/>
                <w:lang w:val="es-MX"/>
              </w:rPr>
              <w:t>lectrónica</w:t>
            </w:r>
            <w:r w:rsidR="009D062B" w:rsidRPr="00570F57">
              <w:rPr>
                <w:rFonts w:ascii="Arial Narrow" w:hAnsi="Arial Narrow" w:cs="Arial"/>
                <w:color w:val="000000" w:themeColor="text1"/>
                <w:lang w:val="es-MX"/>
              </w:rPr>
              <w:t>”</w:t>
            </w:r>
            <w:r w:rsidRPr="00570F57">
              <w:rPr>
                <w:rFonts w:ascii="Arial Narrow" w:hAnsi="Arial Narrow" w:cs="Arial"/>
                <w:color w:val="000000" w:themeColor="text1"/>
                <w:lang w:val="es-MX"/>
              </w:rPr>
              <w:t>. Esta suma de reclasificaciones es por $ 79,089.41, la cual se ve reflejada en el Activo Fijo más no en el capítulo 5000 debido a que este gasto quedo registrado en el año en el que se realizo dicha adquisición.</w:t>
            </w:r>
          </w:p>
        </w:tc>
        <w:tc>
          <w:tcPr>
            <w:tcW w:w="2431" w:type="dxa"/>
          </w:tcPr>
          <w:p w:rsidR="003E3B94" w:rsidRPr="00570F57" w:rsidRDefault="008F4DA3"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Una vez justificada esta diferencia podemos percatarnos que el sa</w:t>
            </w:r>
            <w:r w:rsidR="00772E9B" w:rsidRPr="00570F57">
              <w:rPr>
                <w:rFonts w:ascii="Arial Narrow" w:hAnsi="Arial Narrow" w:cs="Arial"/>
                <w:color w:val="000000" w:themeColor="text1"/>
                <w:lang w:val="es-MX"/>
              </w:rPr>
              <w:t>ldo en el Activo Fijo es de $664,663</w:t>
            </w:r>
            <w:r w:rsidRPr="00570F57">
              <w:rPr>
                <w:rFonts w:ascii="Arial Narrow" w:hAnsi="Arial Narrow" w:cs="Arial"/>
                <w:color w:val="000000" w:themeColor="text1"/>
                <w:lang w:val="es-MX"/>
              </w:rPr>
              <w:t>.10</w:t>
            </w:r>
            <w:r w:rsidR="003C39B6" w:rsidRPr="00570F57">
              <w:rPr>
                <w:rFonts w:ascii="Arial Narrow" w:hAnsi="Arial Narrow" w:cs="Arial"/>
                <w:color w:val="000000" w:themeColor="text1"/>
                <w:lang w:val="es-MX"/>
              </w:rPr>
              <w:t xml:space="preserve"> y al momento de restarle $79,089.41</w:t>
            </w:r>
            <w:r w:rsidR="009D062B" w:rsidRPr="00570F57">
              <w:rPr>
                <w:rFonts w:ascii="Arial Narrow" w:hAnsi="Arial Narrow" w:cs="Arial"/>
                <w:color w:val="000000" w:themeColor="text1"/>
                <w:lang w:val="es-MX"/>
              </w:rPr>
              <w:t xml:space="preserve"> a que esta no es una adquisición si no </w:t>
            </w:r>
            <w:r w:rsidR="003C39B6" w:rsidRPr="00570F57">
              <w:rPr>
                <w:rFonts w:ascii="Arial Narrow" w:hAnsi="Arial Narrow" w:cs="Arial"/>
                <w:color w:val="000000" w:themeColor="text1"/>
                <w:lang w:val="es-MX"/>
              </w:rPr>
              <w:t xml:space="preserve"> reclasificaciones nos da el saldo de $58</w:t>
            </w:r>
            <w:r w:rsidR="00772E9B" w:rsidRPr="00570F57">
              <w:rPr>
                <w:rFonts w:ascii="Arial Narrow" w:hAnsi="Arial Narrow" w:cs="Arial"/>
                <w:color w:val="000000" w:themeColor="text1"/>
                <w:lang w:val="es-MX"/>
              </w:rPr>
              <w:t>5,573.69</w:t>
            </w:r>
            <w:r w:rsidR="003C39B6" w:rsidRPr="00570F57">
              <w:rPr>
                <w:rFonts w:ascii="Arial Narrow" w:hAnsi="Arial Narrow" w:cs="Arial"/>
                <w:color w:val="000000" w:themeColor="text1"/>
                <w:lang w:val="es-MX"/>
              </w:rPr>
              <w:t xml:space="preserve"> y si lo comparamos con el saldo del capítulo 5000, este coincide perfectamente.</w:t>
            </w:r>
          </w:p>
          <w:p w:rsidR="003C39B6" w:rsidRPr="00570F57" w:rsidRDefault="003C39B6"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Para su verificación, se muestran en el </w:t>
            </w:r>
            <w:r w:rsidRPr="00570F57">
              <w:rPr>
                <w:rFonts w:ascii="Arial Narrow" w:hAnsi="Arial Narrow" w:cs="Arial"/>
                <w:b/>
                <w:color w:val="000000" w:themeColor="text1"/>
                <w:lang w:val="es-MX"/>
              </w:rPr>
              <w:t xml:space="preserve">anexo #2 </w:t>
            </w:r>
            <w:r w:rsidRPr="00570F57">
              <w:rPr>
                <w:rFonts w:ascii="Arial Narrow" w:hAnsi="Arial Narrow" w:cs="Arial"/>
                <w:color w:val="000000" w:themeColor="text1"/>
                <w:lang w:val="es-MX"/>
              </w:rPr>
              <w:t>los auxiliares de Activo Fijo y del Capítulo 5000.</w:t>
            </w:r>
          </w:p>
          <w:p w:rsidR="00772E9B" w:rsidRPr="00570F57" w:rsidRDefault="00772E9B"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Así mismo se incluye oficio enviado al Subdirector Administrativo, con el fin de prevenir este tipo de observaciones. </w:t>
            </w:r>
          </w:p>
        </w:tc>
      </w:tr>
    </w:tbl>
    <w:p w:rsidR="00041B68" w:rsidRPr="00570F57" w:rsidRDefault="00041B68" w:rsidP="00041B68">
      <w:pPr>
        <w:spacing w:after="0"/>
        <w:ind w:left="1276"/>
        <w:jc w:val="both"/>
        <w:rPr>
          <w:rFonts w:ascii="Arial Narrow" w:eastAsia="Times New Roman" w:hAnsi="Arial Narrow" w:cs="Arial"/>
          <w:b/>
          <w:bCs/>
          <w:color w:val="000000" w:themeColor="text1"/>
          <w:lang w:val="es-MX" w:eastAsia="es-MX"/>
        </w:rPr>
      </w:pPr>
    </w:p>
    <w:p w:rsidR="00041B68" w:rsidRPr="00570F57" w:rsidRDefault="00041B68" w:rsidP="00041B68">
      <w:pPr>
        <w:spacing w:after="0"/>
        <w:ind w:left="1276"/>
        <w:jc w:val="both"/>
        <w:rPr>
          <w:rFonts w:ascii="Arial Narrow" w:eastAsia="Times New Roman" w:hAnsi="Arial Narrow" w:cs="Arial"/>
          <w:b/>
          <w:bCs/>
          <w:color w:val="000000" w:themeColor="text1"/>
          <w:lang w:val="es-MX" w:eastAsia="es-MX"/>
        </w:rPr>
      </w:pPr>
    </w:p>
    <w:p w:rsidR="00BC2B4C" w:rsidRPr="00570F57" w:rsidRDefault="00BC2B4C" w:rsidP="00041B68">
      <w:pPr>
        <w:spacing w:after="0"/>
        <w:ind w:left="1276"/>
        <w:jc w:val="both"/>
        <w:rPr>
          <w:rFonts w:ascii="Arial Narrow" w:eastAsia="Times New Roman" w:hAnsi="Arial Narrow" w:cs="Arial"/>
          <w:b/>
          <w:bCs/>
          <w:color w:val="000000" w:themeColor="text1"/>
          <w:lang w:val="es-MX" w:eastAsia="es-MX"/>
        </w:rPr>
      </w:pPr>
    </w:p>
    <w:p w:rsidR="00BC2B4C" w:rsidRPr="00570F57" w:rsidRDefault="00BC2B4C" w:rsidP="00041B68">
      <w:pPr>
        <w:spacing w:after="0"/>
        <w:ind w:left="1276"/>
        <w:jc w:val="both"/>
        <w:rPr>
          <w:rFonts w:ascii="Arial Narrow" w:eastAsia="Times New Roman" w:hAnsi="Arial Narrow" w:cs="Arial"/>
          <w:b/>
          <w:bCs/>
          <w:color w:val="000000" w:themeColor="text1"/>
          <w:lang w:val="es-MX" w:eastAsia="es-MX"/>
        </w:rPr>
      </w:pPr>
    </w:p>
    <w:p w:rsidR="00BC2B4C" w:rsidRPr="00570F57" w:rsidRDefault="00BC2B4C" w:rsidP="00041B68">
      <w:pPr>
        <w:spacing w:after="0"/>
        <w:ind w:left="1276"/>
        <w:jc w:val="both"/>
        <w:rPr>
          <w:rFonts w:ascii="Arial Narrow" w:eastAsia="Times New Roman" w:hAnsi="Arial Narrow" w:cs="Arial"/>
          <w:b/>
          <w:bCs/>
          <w:color w:val="000000" w:themeColor="text1"/>
          <w:lang w:val="es-MX" w:eastAsia="es-MX"/>
        </w:rPr>
      </w:pPr>
    </w:p>
    <w:p w:rsidR="00BC2B4C" w:rsidRPr="00570F57" w:rsidRDefault="00BC2B4C" w:rsidP="00041B68">
      <w:pPr>
        <w:spacing w:after="0"/>
        <w:ind w:left="1276"/>
        <w:jc w:val="both"/>
        <w:rPr>
          <w:rFonts w:ascii="Arial Narrow" w:eastAsia="Times New Roman" w:hAnsi="Arial Narrow" w:cs="Arial"/>
          <w:b/>
          <w:bCs/>
          <w:color w:val="000000" w:themeColor="text1"/>
          <w:lang w:val="es-MX" w:eastAsia="es-MX"/>
        </w:rPr>
      </w:pPr>
    </w:p>
    <w:p w:rsidR="00041B68" w:rsidRPr="00570F57" w:rsidRDefault="00041B68" w:rsidP="00772E9B">
      <w:pPr>
        <w:spacing w:after="0"/>
        <w:jc w:val="both"/>
        <w:rPr>
          <w:rFonts w:ascii="Arial Narrow" w:eastAsia="Times New Roman" w:hAnsi="Arial Narrow" w:cs="Arial"/>
          <w:b/>
          <w:bCs/>
          <w:color w:val="000000" w:themeColor="text1"/>
          <w:lang w:val="es-MX" w:eastAsia="es-MX"/>
        </w:rPr>
      </w:pPr>
    </w:p>
    <w:p w:rsidR="00F71160" w:rsidRPr="00570F57" w:rsidRDefault="00F71160" w:rsidP="00F71160">
      <w:pPr>
        <w:numPr>
          <w:ilvl w:val="0"/>
          <w:numId w:val="6"/>
        </w:numPr>
        <w:spacing w:after="0"/>
        <w:jc w:val="both"/>
        <w:rPr>
          <w:rFonts w:ascii="Arial Narrow" w:hAnsi="Arial Narrow"/>
          <w:b/>
          <w:color w:val="000000" w:themeColor="text1"/>
          <w:lang w:val="es-MX"/>
        </w:rPr>
      </w:pPr>
      <w:r w:rsidRPr="00570F57">
        <w:rPr>
          <w:rFonts w:ascii="Arial Narrow" w:hAnsi="Arial Narrow"/>
          <w:b/>
          <w:color w:val="000000" w:themeColor="text1"/>
          <w:lang w:val="es-MX"/>
        </w:rPr>
        <w:t>De la revisión realizada a la cuenta contable de Pasivo denominada “Proveedores” con cifras al 31 de diciembre de 2010, se determinó la existencia de diversos saldos que provienen de ejercicios anteriores al 2010, integrándose como sigue:</w:t>
      </w:r>
    </w:p>
    <w:p w:rsidR="00F71160" w:rsidRPr="00570F57" w:rsidRDefault="00F71160" w:rsidP="00F71160">
      <w:pPr>
        <w:jc w:val="both"/>
        <w:rPr>
          <w:rFonts w:ascii="Arial Narrow" w:hAnsi="Arial Narrow"/>
          <w:b/>
          <w:color w:val="000000" w:themeColor="text1"/>
          <w:sz w:val="20"/>
          <w:szCs w:val="20"/>
          <w:lang w:val="es-MX"/>
        </w:rPr>
      </w:pPr>
    </w:p>
    <w:tbl>
      <w:tblPr>
        <w:tblW w:w="8270" w:type="dxa"/>
        <w:jc w:val="center"/>
        <w:tblCellMar>
          <w:left w:w="70" w:type="dxa"/>
          <w:right w:w="70" w:type="dxa"/>
        </w:tblCellMar>
        <w:tblLook w:val="04A0"/>
      </w:tblPr>
      <w:tblGrid>
        <w:gridCol w:w="1501"/>
        <w:gridCol w:w="4671"/>
        <w:gridCol w:w="2098"/>
      </w:tblGrid>
      <w:tr w:rsidR="00F71160" w:rsidRPr="00570F57" w:rsidTr="00BE7176">
        <w:trPr>
          <w:trHeight w:val="60"/>
          <w:jc w:val="center"/>
        </w:trPr>
        <w:tc>
          <w:tcPr>
            <w:tcW w:w="1501" w:type="dxa"/>
            <w:tcBorders>
              <w:top w:val="single" w:sz="4" w:space="0" w:color="auto"/>
              <w:left w:val="single" w:sz="4" w:space="0" w:color="auto"/>
              <w:bottom w:val="single" w:sz="4" w:space="0" w:color="auto"/>
              <w:right w:val="nil"/>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 xml:space="preserve">No. de </w:t>
            </w:r>
            <w:proofErr w:type="spellStart"/>
            <w:r w:rsidRPr="00570F57">
              <w:rPr>
                <w:rFonts w:ascii="Arial Narrow" w:hAnsi="Arial Narrow" w:cs="Arial"/>
                <w:b/>
                <w:bCs/>
                <w:color w:val="000000" w:themeColor="text1"/>
                <w:sz w:val="16"/>
                <w:szCs w:val="16"/>
              </w:rPr>
              <w:t>Cuenta</w:t>
            </w:r>
            <w:proofErr w:type="spellEnd"/>
            <w:r w:rsidRPr="00570F57">
              <w:rPr>
                <w:rFonts w:ascii="Arial Narrow" w:hAnsi="Arial Narrow" w:cs="Arial"/>
                <w:b/>
                <w:bCs/>
                <w:color w:val="000000" w:themeColor="text1"/>
                <w:sz w:val="16"/>
                <w:szCs w:val="16"/>
              </w:rPr>
              <w:t xml:space="preserve"> </w:t>
            </w:r>
            <w:proofErr w:type="spellStart"/>
            <w:r w:rsidRPr="00570F57">
              <w:rPr>
                <w:rFonts w:ascii="Arial Narrow" w:hAnsi="Arial Narrow" w:cs="Arial"/>
                <w:b/>
                <w:bCs/>
                <w:color w:val="000000" w:themeColor="text1"/>
                <w:sz w:val="16"/>
                <w:szCs w:val="16"/>
              </w:rPr>
              <w:t>Contable</w:t>
            </w:r>
            <w:proofErr w:type="spellEnd"/>
          </w:p>
        </w:tc>
        <w:tc>
          <w:tcPr>
            <w:tcW w:w="4671" w:type="dxa"/>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Nombre</w:t>
            </w:r>
            <w:proofErr w:type="spellEnd"/>
            <w:r w:rsidRPr="00570F57">
              <w:rPr>
                <w:rFonts w:ascii="Arial Narrow" w:hAnsi="Arial Narrow" w:cs="Arial"/>
                <w:b/>
                <w:bCs/>
                <w:color w:val="000000" w:themeColor="text1"/>
                <w:sz w:val="16"/>
                <w:szCs w:val="16"/>
              </w:rPr>
              <w:t xml:space="preserve"> del </w:t>
            </w:r>
            <w:proofErr w:type="spellStart"/>
            <w:r w:rsidRPr="00570F57">
              <w:rPr>
                <w:rFonts w:ascii="Arial Narrow" w:hAnsi="Arial Narrow" w:cs="Arial"/>
                <w:b/>
                <w:bCs/>
                <w:color w:val="000000" w:themeColor="text1"/>
                <w:sz w:val="16"/>
                <w:szCs w:val="16"/>
              </w:rPr>
              <w:t>Proveedor</w:t>
            </w:r>
            <w:proofErr w:type="spellEnd"/>
          </w:p>
        </w:tc>
        <w:tc>
          <w:tcPr>
            <w:tcW w:w="2098" w:type="dxa"/>
            <w:tcBorders>
              <w:top w:val="single" w:sz="4" w:space="0" w:color="auto"/>
              <w:left w:val="nil"/>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Saldo</w:t>
            </w:r>
            <w:proofErr w:type="spellEnd"/>
            <w:r w:rsidRPr="00570F57">
              <w:rPr>
                <w:rFonts w:ascii="Arial Narrow" w:hAnsi="Arial Narrow" w:cs="Arial"/>
                <w:b/>
                <w:bCs/>
                <w:color w:val="000000" w:themeColor="text1"/>
                <w:sz w:val="16"/>
                <w:szCs w:val="16"/>
              </w:rPr>
              <w:t xml:space="preserve"> </w:t>
            </w:r>
            <w:proofErr w:type="spellStart"/>
            <w:r w:rsidRPr="00570F57">
              <w:rPr>
                <w:rFonts w:ascii="Arial Narrow" w:hAnsi="Arial Narrow" w:cs="Arial"/>
                <w:b/>
                <w:bCs/>
                <w:color w:val="000000" w:themeColor="text1"/>
                <w:sz w:val="16"/>
                <w:szCs w:val="16"/>
              </w:rPr>
              <w:t>contable</w:t>
            </w:r>
            <w:proofErr w:type="spellEnd"/>
            <w:r w:rsidRPr="00570F57">
              <w:rPr>
                <w:rFonts w:ascii="Arial Narrow" w:hAnsi="Arial Narrow" w:cs="Arial"/>
                <w:b/>
                <w:bCs/>
                <w:color w:val="000000" w:themeColor="text1"/>
                <w:sz w:val="16"/>
                <w:szCs w:val="16"/>
              </w:rPr>
              <w:t xml:space="preserve"> al 31/12/10</w:t>
            </w:r>
          </w:p>
        </w:tc>
      </w:tr>
      <w:tr w:rsidR="00F71160" w:rsidRPr="00570F57" w:rsidTr="00BE7176">
        <w:trPr>
          <w:trHeight w:val="97"/>
          <w:jc w:val="center"/>
        </w:trPr>
        <w:tc>
          <w:tcPr>
            <w:tcW w:w="1501" w:type="dxa"/>
            <w:tcBorders>
              <w:top w:val="single" w:sz="4" w:space="0" w:color="auto"/>
              <w:left w:val="single" w:sz="4" w:space="0" w:color="auto"/>
              <w:bottom w:val="single" w:sz="4" w:space="0" w:color="auto"/>
              <w:right w:val="nil"/>
            </w:tcBorders>
            <w:shd w:val="clear" w:color="auto" w:fill="auto"/>
            <w:noWrap/>
            <w:vAlign w:val="bottom"/>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202-0190-000</w:t>
            </w:r>
          </w:p>
        </w:tc>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Servicios Sonorenses de Turismo, S.A. de C.V.</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   22,800</w:t>
            </w:r>
          </w:p>
        </w:tc>
      </w:tr>
      <w:tr w:rsidR="00F71160" w:rsidRPr="00570F57" w:rsidTr="00BE7176">
        <w:trPr>
          <w:trHeight w:val="70"/>
          <w:jc w:val="center"/>
        </w:trPr>
        <w:tc>
          <w:tcPr>
            <w:tcW w:w="1501" w:type="dxa"/>
            <w:tcBorders>
              <w:top w:val="single" w:sz="4" w:space="0" w:color="auto"/>
              <w:left w:val="single" w:sz="4" w:space="0" w:color="auto"/>
              <w:bottom w:val="single" w:sz="4" w:space="0" w:color="auto"/>
              <w:right w:val="nil"/>
            </w:tcBorders>
            <w:shd w:val="clear" w:color="auto" w:fill="auto"/>
            <w:noWrap/>
            <w:vAlign w:val="bottom"/>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202-0234-000</w:t>
            </w:r>
          </w:p>
        </w:tc>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rPr>
                <w:rFonts w:ascii="Arial Narrow" w:hAnsi="Arial Narrow" w:cs="Arial"/>
                <w:color w:val="000000" w:themeColor="text1"/>
                <w:sz w:val="16"/>
                <w:szCs w:val="16"/>
              </w:rPr>
            </w:pPr>
            <w:proofErr w:type="gramStart"/>
            <w:r w:rsidRPr="00570F57">
              <w:rPr>
                <w:rFonts w:ascii="Arial Narrow" w:hAnsi="Arial Narrow" w:cs="Arial"/>
                <w:color w:val="000000" w:themeColor="text1"/>
                <w:sz w:val="16"/>
                <w:szCs w:val="16"/>
              </w:rPr>
              <w:t>Paul  Fernando</w:t>
            </w:r>
            <w:proofErr w:type="gramEnd"/>
            <w:r w:rsidRPr="00570F57">
              <w:rPr>
                <w:rFonts w:ascii="Arial Narrow" w:hAnsi="Arial Narrow" w:cs="Arial"/>
                <w:color w:val="000000" w:themeColor="text1"/>
                <w:sz w:val="16"/>
                <w:szCs w:val="16"/>
              </w:rPr>
              <w:t xml:space="preserve"> Valenzuela Portillo.</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106,120</w:t>
            </w:r>
          </w:p>
        </w:tc>
      </w:tr>
      <w:tr w:rsidR="00F71160" w:rsidRPr="00570F57" w:rsidTr="00BE7176">
        <w:trPr>
          <w:trHeight w:val="70"/>
          <w:jc w:val="center"/>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202-0281-000</w:t>
            </w:r>
          </w:p>
        </w:tc>
        <w:tc>
          <w:tcPr>
            <w:tcW w:w="4671" w:type="dxa"/>
            <w:tcBorders>
              <w:top w:val="single" w:sz="4" w:space="0" w:color="auto"/>
              <w:left w:val="nil"/>
              <w:bottom w:val="single" w:sz="4" w:space="0" w:color="auto"/>
              <w:right w:val="single" w:sz="4" w:space="0" w:color="auto"/>
            </w:tcBorders>
            <w:shd w:val="clear" w:color="auto" w:fill="auto"/>
            <w:noWrap/>
            <w:vAlign w:val="bottom"/>
          </w:tcPr>
          <w:p w:rsidR="00F71160" w:rsidRPr="00570F57" w:rsidRDefault="00F71160" w:rsidP="00BC2B4C">
            <w:pPr>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 xml:space="preserve">Distribuciones </w:t>
            </w:r>
            <w:proofErr w:type="spellStart"/>
            <w:r w:rsidRPr="00570F57">
              <w:rPr>
                <w:rFonts w:ascii="Arial Narrow" w:hAnsi="Arial Narrow" w:cs="Arial"/>
                <w:color w:val="000000" w:themeColor="text1"/>
                <w:sz w:val="16"/>
                <w:szCs w:val="16"/>
                <w:lang w:val="es-MX"/>
              </w:rPr>
              <w:t>Redal</w:t>
            </w:r>
            <w:proofErr w:type="spellEnd"/>
            <w:r w:rsidRPr="00570F57">
              <w:rPr>
                <w:rFonts w:ascii="Arial Narrow" w:hAnsi="Arial Narrow" w:cs="Arial"/>
                <w:color w:val="000000" w:themeColor="text1"/>
                <w:sz w:val="16"/>
                <w:szCs w:val="16"/>
                <w:lang w:val="es-MX"/>
              </w:rPr>
              <w:t>, S.A. de C.V.</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20,174</w:t>
            </w:r>
          </w:p>
        </w:tc>
      </w:tr>
      <w:tr w:rsidR="00F71160" w:rsidRPr="00570F57" w:rsidTr="00BE7176">
        <w:trPr>
          <w:trHeight w:val="70"/>
          <w:jc w:val="center"/>
        </w:trPr>
        <w:tc>
          <w:tcPr>
            <w:tcW w:w="1501" w:type="dxa"/>
            <w:tcBorders>
              <w:top w:val="single" w:sz="4" w:space="0" w:color="auto"/>
              <w:left w:val="single" w:sz="4" w:space="0" w:color="auto"/>
              <w:bottom w:val="single" w:sz="4" w:space="0" w:color="auto"/>
              <w:right w:val="nil"/>
            </w:tcBorders>
            <w:shd w:val="clear" w:color="auto" w:fill="auto"/>
            <w:noWrap/>
            <w:vAlign w:val="bottom"/>
          </w:tcPr>
          <w:p w:rsidR="00F71160" w:rsidRPr="00570F57" w:rsidRDefault="00F71160" w:rsidP="00BC2B4C">
            <w:pPr>
              <w:jc w:val="center"/>
              <w:rPr>
                <w:rFonts w:ascii="Arial Narrow" w:hAnsi="Arial Narrow" w:cs="Arial"/>
                <w:color w:val="000000" w:themeColor="text1"/>
                <w:sz w:val="16"/>
                <w:szCs w:val="16"/>
              </w:rPr>
            </w:pPr>
          </w:p>
        </w:tc>
        <w:tc>
          <w:tcPr>
            <w:tcW w:w="4671" w:type="dxa"/>
            <w:tcBorders>
              <w:top w:val="single" w:sz="4" w:space="0" w:color="auto"/>
              <w:left w:val="nil"/>
              <w:bottom w:val="single" w:sz="4" w:space="0" w:color="auto"/>
              <w:right w:val="nil"/>
            </w:tcBorders>
            <w:shd w:val="clear" w:color="auto" w:fill="auto"/>
            <w:noWrap/>
            <w:vAlign w:val="bottom"/>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b/>
                <w:color w:val="000000" w:themeColor="text1"/>
                <w:sz w:val="16"/>
                <w:szCs w:val="16"/>
              </w:rPr>
              <w:t>Tota</w:t>
            </w:r>
            <w:r w:rsidRPr="00570F57">
              <w:rPr>
                <w:rFonts w:ascii="Arial Narrow" w:hAnsi="Arial Narrow" w:cs="Arial"/>
                <w:color w:val="000000" w:themeColor="text1"/>
                <w:sz w:val="16"/>
                <w:szCs w:val="16"/>
              </w:rPr>
              <w:t>l</w:t>
            </w: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right"/>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$ 149,094</w:t>
            </w:r>
          </w:p>
        </w:tc>
      </w:tr>
    </w:tbl>
    <w:p w:rsidR="00041B68" w:rsidRPr="00570F57" w:rsidRDefault="00041B68" w:rsidP="00F71160">
      <w:pPr>
        <w:jc w:val="both"/>
        <w:rPr>
          <w:rFonts w:ascii="Arial Narrow" w:hAnsi="Arial Narrow"/>
          <w:b/>
          <w:color w:val="000000" w:themeColor="text1"/>
          <w:lang w:val="es-MX"/>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4"/>
        <w:gridCol w:w="2900"/>
        <w:gridCol w:w="3163"/>
      </w:tblGrid>
      <w:tr w:rsidR="003E3B94" w:rsidRPr="00570F57" w:rsidTr="00BC2B4C">
        <w:trPr>
          <w:trHeight w:val="572"/>
        </w:trPr>
        <w:tc>
          <w:tcPr>
            <w:tcW w:w="675" w:type="dxa"/>
            <w:shd w:val="clear" w:color="auto" w:fill="CCCCCC"/>
            <w:vAlign w:val="center"/>
          </w:tcPr>
          <w:p w:rsidR="003E3B94" w:rsidRPr="00570F57" w:rsidRDefault="003E3B94"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No.</w:t>
            </w:r>
          </w:p>
        </w:tc>
        <w:tc>
          <w:tcPr>
            <w:tcW w:w="3314" w:type="dxa"/>
            <w:shd w:val="clear" w:color="auto" w:fill="CCCCCC"/>
            <w:vAlign w:val="center"/>
          </w:tcPr>
          <w:p w:rsidR="003E3B94" w:rsidRPr="00570F57" w:rsidRDefault="003E3B94" w:rsidP="00BC2B4C">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2900" w:type="dxa"/>
            <w:shd w:val="clear" w:color="auto" w:fill="CCCCCC"/>
          </w:tcPr>
          <w:p w:rsidR="003E3B94" w:rsidRPr="00570F57" w:rsidRDefault="003E3B94" w:rsidP="00BC2B4C">
            <w:pPr>
              <w:jc w:val="center"/>
              <w:rPr>
                <w:rFonts w:ascii="Arial" w:hAnsi="Arial" w:cs="Arial"/>
                <w:b/>
                <w:color w:val="000000" w:themeColor="text1"/>
                <w:sz w:val="20"/>
                <w:szCs w:val="20"/>
                <w:lang w:val="es-MX"/>
              </w:rPr>
            </w:pPr>
          </w:p>
          <w:p w:rsidR="003E3B94" w:rsidRPr="00570F57" w:rsidRDefault="003E3B94"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3163" w:type="dxa"/>
            <w:shd w:val="clear" w:color="auto" w:fill="CCCCCC"/>
            <w:vAlign w:val="center"/>
          </w:tcPr>
          <w:p w:rsidR="003E3B94" w:rsidRPr="00570F57" w:rsidRDefault="003E3B94" w:rsidP="00BC2B4C">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3E3B94" w:rsidRPr="00BA748E" w:rsidTr="00BC2B4C">
        <w:trPr>
          <w:trHeight w:val="182"/>
        </w:trPr>
        <w:tc>
          <w:tcPr>
            <w:tcW w:w="675" w:type="dxa"/>
            <w:vAlign w:val="center"/>
          </w:tcPr>
          <w:p w:rsidR="003E3B94" w:rsidRPr="00570F57" w:rsidRDefault="003E3B94" w:rsidP="00BC2B4C">
            <w:pPr>
              <w:spacing w:line="240" w:lineRule="exact"/>
              <w:rPr>
                <w:rFonts w:ascii="Arial Narrow" w:hAnsi="Arial Narrow" w:cs="Arial"/>
                <w:color w:val="000000" w:themeColor="text1"/>
                <w:lang w:val="es-MX"/>
              </w:rPr>
            </w:pPr>
          </w:p>
          <w:p w:rsidR="00F71160" w:rsidRPr="00570F57" w:rsidRDefault="00F71160" w:rsidP="00BC2B4C">
            <w:pPr>
              <w:spacing w:line="240" w:lineRule="exact"/>
              <w:rPr>
                <w:rFonts w:ascii="Arial Narrow" w:hAnsi="Arial Narrow" w:cs="Arial"/>
                <w:color w:val="000000" w:themeColor="text1"/>
                <w:lang w:val="es-MX"/>
              </w:rPr>
            </w:pPr>
          </w:p>
          <w:p w:rsidR="00F71160" w:rsidRPr="00570F57" w:rsidRDefault="00F71160" w:rsidP="00BC2B4C">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3</w:t>
            </w:r>
          </w:p>
        </w:tc>
        <w:tc>
          <w:tcPr>
            <w:tcW w:w="3314" w:type="dxa"/>
          </w:tcPr>
          <w:p w:rsidR="003E3B94" w:rsidRPr="00570F57" w:rsidRDefault="00E66203" w:rsidP="00BC2B4C">
            <w:pPr>
              <w:spacing w:after="0"/>
              <w:ind w:left="33"/>
              <w:jc w:val="both"/>
              <w:rPr>
                <w:rFonts w:ascii="Arial Narrow" w:hAnsi="Arial Narrow" w:cs="Arial"/>
                <w:color w:val="000000" w:themeColor="text1"/>
                <w:lang w:val="es-MX"/>
              </w:rPr>
            </w:pPr>
            <w:r w:rsidRPr="00570F57">
              <w:rPr>
                <w:rFonts w:ascii="Arial Narrow" w:hAnsi="Arial Narrow"/>
                <w:color w:val="000000" w:themeColor="text1"/>
                <w:lang w:val="es-MX"/>
              </w:rPr>
              <w:t xml:space="preserve">15.- </w:t>
            </w:r>
            <w:r w:rsidR="00F71160" w:rsidRPr="00570F57">
              <w:rPr>
                <w:rFonts w:ascii="Arial Narrow" w:hAnsi="Arial Narrow"/>
                <w:color w:val="000000" w:themeColor="text1"/>
                <w:lang w:val="es-MX"/>
              </w:rPr>
              <w:t>De la revisión realizada a la cuenta contable de Pasivo denominada “Proveedores” con cifras al 31 de diciembre de 2010, se determinó la existencia de diversos saldos que provienen de ejercicios anteriores al 2010</w:t>
            </w:r>
          </w:p>
        </w:tc>
        <w:tc>
          <w:tcPr>
            <w:tcW w:w="2900" w:type="dxa"/>
          </w:tcPr>
          <w:p w:rsidR="003E3B94" w:rsidRPr="00570F57" w:rsidRDefault="009D062B" w:rsidP="00064EBF">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Efectivamente, al momento de la revisión el ISJ </w:t>
            </w:r>
            <w:r w:rsidR="00064EBF" w:rsidRPr="00570F57">
              <w:rPr>
                <w:rFonts w:ascii="Arial Narrow" w:hAnsi="Arial Narrow" w:cs="Arial"/>
                <w:color w:val="000000" w:themeColor="text1"/>
                <w:lang w:val="es-MX"/>
              </w:rPr>
              <w:t xml:space="preserve">presento </w:t>
            </w:r>
            <w:r w:rsidRPr="00570F57">
              <w:rPr>
                <w:rFonts w:ascii="Arial Narrow" w:hAnsi="Arial Narrow" w:cs="Arial"/>
                <w:color w:val="000000" w:themeColor="text1"/>
                <w:lang w:val="es-MX"/>
              </w:rPr>
              <w:t xml:space="preserve"> saldos que </w:t>
            </w:r>
            <w:r w:rsidR="00064EBF" w:rsidRPr="00570F57">
              <w:rPr>
                <w:rFonts w:ascii="Arial Narrow" w:hAnsi="Arial Narrow" w:cs="Arial"/>
                <w:color w:val="000000" w:themeColor="text1"/>
                <w:lang w:val="es-MX"/>
              </w:rPr>
              <w:t xml:space="preserve">demostraron </w:t>
            </w:r>
            <w:r w:rsidRPr="00570F57">
              <w:rPr>
                <w:rFonts w:ascii="Arial Narrow" w:hAnsi="Arial Narrow" w:cs="Arial"/>
                <w:color w:val="000000" w:themeColor="text1"/>
                <w:lang w:val="es-MX"/>
              </w:rPr>
              <w:t xml:space="preserve"> una antigüedad al ejercicio 2010, la cual aún existe ya que al inicio de la presente administración esta se recibió con un pasivo </w:t>
            </w:r>
            <w:r w:rsidR="00064EBF" w:rsidRPr="00570F57">
              <w:rPr>
                <w:rFonts w:ascii="Arial Narrow" w:hAnsi="Arial Narrow" w:cs="Arial"/>
                <w:color w:val="000000" w:themeColor="text1"/>
                <w:lang w:val="es-MX"/>
              </w:rPr>
              <w:t>total de $3</w:t>
            </w:r>
            <w:proofErr w:type="gramStart"/>
            <w:r w:rsidR="00064EBF" w:rsidRPr="00570F57">
              <w:rPr>
                <w:rFonts w:ascii="Arial Narrow" w:hAnsi="Arial Narrow" w:cs="Arial"/>
                <w:color w:val="000000" w:themeColor="text1"/>
                <w:lang w:val="es-MX"/>
              </w:rPr>
              <w:t>,031,791.54</w:t>
            </w:r>
            <w:proofErr w:type="gramEnd"/>
            <w:r w:rsidR="00064EBF" w:rsidRPr="00570F57">
              <w:rPr>
                <w:rFonts w:ascii="Arial Narrow" w:hAnsi="Arial Narrow" w:cs="Arial"/>
                <w:color w:val="000000" w:themeColor="text1"/>
                <w:lang w:val="es-MX"/>
              </w:rPr>
              <w:t xml:space="preserve"> y solo en Proveedores por $2,160,137.48, por lo que se ha venido pagando conforme a la solvencia económica del Instituto, y que estos pagos que se realizan de ejercicios anteriores, no afecten la operación de los programas.</w:t>
            </w:r>
          </w:p>
        </w:tc>
        <w:tc>
          <w:tcPr>
            <w:tcW w:w="3163" w:type="dxa"/>
          </w:tcPr>
          <w:p w:rsidR="003E3B94" w:rsidRDefault="00064EBF"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Cabe aclarar que algunos de estos proveedores han sido ilocalizables por lo que no se ha llegado a un acuerdo con ellos para hacer un plan de pago. Con respecto al proveedores Paul Fernando Valenzuela Portillo, si se ha localizado pero las facturas carecen de la evidencia correspondiente que nos sirva para comprobar que dicho servicio en audio y sonido si fue brindado conforme a los </w:t>
            </w:r>
            <w:r w:rsidR="00570F57" w:rsidRPr="00570F57">
              <w:rPr>
                <w:rFonts w:ascii="Arial Narrow" w:hAnsi="Arial Narrow" w:cs="Arial"/>
                <w:color w:val="000000" w:themeColor="text1"/>
                <w:lang w:val="es-MX"/>
              </w:rPr>
              <w:t xml:space="preserve">objetivos que tiene el ISJ. </w:t>
            </w:r>
          </w:p>
          <w:p w:rsidR="00570F57" w:rsidRPr="00570F57" w:rsidRDefault="00570F57" w:rsidP="00570F57">
            <w:pPr>
              <w:ind w:left="70"/>
              <w:jc w:val="both"/>
              <w:rPr>
                <w:rFonts w:ascii="Arial Narrow" w:hAnsi="Arial Narrow" w:cs="Arial"/>
                <w:color w:val="000000" w:themeColor="text1"/>
                <w:lang w:val="es-MX"/>
              </w:rPr>
            </w:pPr>
            <w:r>
              <w:rPr>
                <w:rFonts w:ascii="Arial Narrow" w:hAnsi="Arial Narrow" w:cs="Arial"/>
                <w:color w:val="000000" w:themeColor="text1"/>
                <w:lang w:val="es-MX"/>
              </w:rPr>
              <w:t xml:space="preserve">Según </w:t>
            </w:r>
            <w:r w:rsidRPr="00570F57">
              <w:rPr>
                <w:rFonts w:ascii="Arial Narrow" w:hAnsi="Arial Narrow" w:cs="Arial"/>
                <w:b/>
                <w:color w:val="000000" w:themeColor="text1"/>
                <w:lang w:val="es-MX"/>
              </w:rPr>
              <w:t>anexo #3</w:t>
            </w:r>
            <w:r>
              <w:rPr>
                <w:rFonts w:ascii="Arial Narrow" w:hAnsi="Arial Narrow" w:cs="Arial"/>
                <w:color w:val="000000" w:themeColor="text1"/>
                <w:lang w:val="es-MX"/>
              </w:rPr>
              <w:t xml:space="preserve"> se muestra copia del oficio enviado al Subdirector Administrativo con el fin de tomar las medidas pertinentes para conocer la situación de todos los proveedores que presentan saldos con antigüedad y que se prevengan este tipo de observaciones.</w:t>
            </w:r>
          </w:p>
        </w:tc>
      </w:tr>
    </w:tbl>
    <w:p w:rsidR="00041B68" w:rsidRPr="00570F57" w:rsidRDefault="00041B68" w:rsidP="00041B68">
      <w:pPr>
        <w:ind w:left="1276"/>
        <w:jc w:val="both"/>
        <w:rPr>
          <w:rFonts w:ascii="Arial Narrow" w:hAnsi="Arial Narrow"/>
          <w:b/>
          <w:color w:val="000000" w:themeColor="text1"/>
          <w:lang w:val="es-MX"/>
        </w:rPr>
      </w:pPr>
    </w:p>
    <w:p w:rsidR="00BC2B4C" w:rsidRPr="00570F57" w:rsidRDefault="00BC2B4C" w:rsidP="00041B68">
      <w:pPr>
        <w:ind w:left="1276"/>
        <w:jc w:val="both"/>
        <w:rPr>
          <w:rFonts w:ascii="Arial Narrow" w:hAnsi="Arial Narrow"/>
          <w:b/>
          <w:color w:val="000000" w:themeColor="text1"/>
          <w:lang w:val="es-MX"/>
        </w:rPr>
      </w:pPr>
    </w:p>
    <w:p w:rsidR="00BC2B4C" w:rsidRPr="00570F57" w:rsidRDefault="00BC2B4C" w:rsidP="00041B68">
      <w:pPr>
        <w:ind w:left="1276"/>
        <w:jc w:val="both"/>
        <w:rPr>
          <w:rFonts w:ascii="Arial Narrow" w:hAnsi="Arial Narrow"/>
          <w:b/>
          <w:color w:val="000000" w:themeColor="text1"/>
          <w:lang w:val="es-MX"/>
        </w:rPr>
      </w:pPr>
    </w:p>
    <w:p w:rsidR="00BC2B4C" w:rsidRPr="00570F57" w:rsidRDefault="00BC2B4C" w:rsidP="00041B68">
      <w:pPr>
        <w:ind w:left="1276"/>
        <w:jc w:val="both"/>
        <w:rPr>
          <w:rFonts w:ascii="Arial Narrow" w:hAnsi="Arial Narrow"/>
          <w:b/>
          <w:color w:val="000000" w:themeColor="text1"/>
          <w:lang w:val="es-MX"/>
        </w:rPr>
      </w:pPr>
    </w:p>
    <w:p w:rsidR="00BC2B4C" w:rsidRPr="00570F57" w:rsidRDefault="00BC2B4C" w:rsidP="00041B68">
      <w:pPr>
        <w:ind w:left="1276"/>
        <w:jc w:val="both"/>
        <w:rPr>
          <w:rFonts w:ascii="Arial Narrow" w:hAnsi="Arial Narrow"/>
          <w:b/>
          <w:color w:val="000000" w:themeColor="text1"/>
          <w:lang w:val="es-MX"/>
        </w:rPr>
      </w:pPr>
    </w:p>
    <w:p w:rsidR="00BC2B4C" w:rsidRPr="00570F57" w:rsidRDefault="00BC2B4C" w:rsidP="00041B68">
      <w:pPr>
        <w:ind w:left="1276"/>
        <w:jc w:val="both"/>
        <w:rPr>
          <w:rFonts w:ascii="Arial Narrow" w:hAnsi="Arial Narrow"/>
          <w:b/>
          <w:color w:val="000000" w:themeColor="text1"/>
          <w:lang w:val="es-MX"/>
        </w:rPr>
      </w:pPr>
    </w:p>
    <w:p w:rsidR="00F71160" w:rsidRPr="00570F57" w:rsidRDefault="00F71160" w:rsidP="00F71160">
      <w:pPr>
        <w:pStyle w:val="NormalArial"/>
        <w:numPr>
          <w:ilvl w:val="0"/>
          <w:numId w:val="6"/>
        </w:numPr>
        <w:rPr>
          <w:rFonts w:ascii="Arial Narrow" w:hAnsi="Arial Narrow"/>
          <w:b/>
          <w:color w:val="000000" w:themeColor="text1"/>
        </w:rPr>
      </w:pPr>
      <w:r w:rsidRPr="00570F57">
        <w:rPr>
          <w:rFonts w:ascii="Arial Narrow" w:hAnsi="Arial Narrow"/>
          <w:b/>
          <w:color w:val="000000" w:themeColor="text1"/>
        </w:rPr>
        <w:t xml:space="preserve">En el informe relativo al cuarto trimestre de 2010 no se manifestaron en el formato EVTOP-04, las justificaciones así como el impacto que tendrán en la estructura programática, en relación con las modificaciones al presupuesto original de ciertas partidas reportadas en el formato EVTOP-02 denominado “Analítico de Recursos Ejercidos por Partida Presupuestal”, como se describe a continuación: </w:t>
      </w:r>
    </w:p>
    <w:p w:rsidR="00F71160" w:rsidRPr="00570F57" w:rsidRDefault="00F71160" w:rsidP="00F71160">
      <w:pPr>
        <w:pStyle w:val="NormalArial"/>
        <w:tabs>
          <w:tab w:val="clear" w:pos="360"/>
        </w:tabs>
        <w:ind w:left="0" w:firstLine="0"/>
        <w:rPr>
          <w:rFonts w:ascii="Arial Narrow" w:hAnsi="Arial Narrow"/>
          <w:b/>
          <w:color w:val="000000" w:themeColor="text1"/>
          <w:sz w:val="20"/>
          <w:szCs w:val="20"/>
        </w:rPr>
      </w:pPr>
    </w:p>
    <w:tbl>
      <w:tblPr>
        <w:tblW w:w="6400" w:type="dxa"/>
        <w:tblInd w:w="1800" w:type="dxa"/>
        <w:tblCellMar>
          <w:left w:w="70" w:type="dxa"/>
          <w:right w:w="70" w:type="dxa"/>
        </w:tblCellMar>
        <w:tblLook w:val="0000"/>
      </w:tblPr>
      <w:tblGrid>
        <w:gridCol w:w="760"/>
        <w:gridCol w:w="2720"/>
        <w:gridCol w:w="1040"/>
        <w:gridCol w:w="940"/>
        <w:gridCol w:w="940"/>
      </w:tblGrid>
      <w:tr w:rsidR="00F71160" w:rsidRPr="00570F57" w:rsidTr="00BC2B4C">
        <w:trPr>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BC2B4C">
            <w:pPr>
              <w:spacing w:before="9" w:after="9"/>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Partida</w:t>
            </w:r>
            <w:proofErr w:type="spellEnd"/>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BC2B4C">
            <w:pPr>
              <w:spacing w:before="9" w:after="9"/>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Concepto</w:t>
            </w:r>
            <w:proofErr w:type="spellEnd"/>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F71160" w:rsidRPr="00570F57" w:rsidRDefault="00F71160" w:rsidP="00BC2B4C">
            <w:pPr>
              <w:spacing w:before="9" w:after="9"/>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Presupuesto</w:t>
            </w:r>
            <w:proofErr w:type="spellEnd"/>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BC2B4C">
            <w:pPr>
              <w:spacing w:before="9" w:after="9"/>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Variación</w:t>
            </w:r>
            <w:proofErr w:type="spellEnd"/>
          </w:p>
        </w:tc>
      </w:tr>
      <w:tr w:rsidR="00F71160" w:rsidRPr="00570F57" w:rsidTr="00BC2B4C">
        <w:trPr>
          <w:tblHeader/>
        </w:trPr>
        <w:tc>
          <w:tcPr>
            <w:tcW w:w="760"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BC2B4C">
            <w:pPr>
              <w:spacing w:before="9" w:after="9"/>
              <w:rPr>
                <w:rFonts w:ascii="Arial Narrow" w:hAnsi="Arial Narrow" w:cs="Arial"/>
                <w:b/>
                <w:bCs/>
                <w:color w:val="000000" w:themeColor="text1"/>
                <w:sz w:val="16"/>
                <w:szCs w:val="16"/>
              </w:rPr>
            </w:pPr>
          </w:p>
        </w:tc>
        <w:tc>
          <w:tcPr>
            <w:tcW w:w="2720"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BC2B4C">
            <w:pPr>
              <w:spacing w:before="9" w:after="9"/>
              <w:rPr>
                <w:rFonts w:ascii="Arial Narrow" w:hAnsi="Arial Narrow" w:cs="Arial"/>
                <w:b/>
                <w:bCs/>
                <w:color w:val="000000" w:themeColor="text1"/>
                <w:sz w:val="16"/>
                <w:szCs w:val="16"/>
              </w:rPr>
            </w:pP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Original</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Modificado</w:t>
            </w:r>
            <w:proofErr w:type="spellEnd"/>
          </w:p>
        </w:tc>
        <w:tc>
          <w:tcPr>
            <w:tcW w:w="940"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BC2B4C">
            <w:pPr>
              <w:spacing w:before="9" w:after="9"/>
              <w:rPr>
                <w:rFonts w:ascii="Arial Narrow" w:hAnsi="Arial Narrow" w:cs="Arial"/>
                <w:b/>
                <w:bCs/>
                <w:color w:val="000000" w:themeColor="text1"/>
                <w:sz w:val="16"/>
                <w:szCs w:val="16"/>
              </w:rPr>
            </w:pP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1101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Sueldos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$5,310,122</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$2,026,027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 -3,284,095</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Prima </w:t>
            </w:r>
            <w:proofErr w:type="spellStart"/>
            <w:r w:rsidRPr="00570F57">
              <w:rPr>
                <w:rFonts w:ascii="Arial Narrow" w:hAnsi="Arial Narrow" w:cs="Arial"/>
                <w:color w:val="000000" w:themeColor="text1"/>
                <w:sz w:val="16"/>
                <w:szCs w:val="16"/>
              </w:rPr>
              <w:t>Quinquenal</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158,996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56,937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-102,059</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1306</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Prima </w:t>
            </w:r>
            <w:proofErr w:type="spellStart"/>
            <w:r w:rsidRPr="00570F57">
              <w:rPr>
                <w:rFonts w:ascii="Arial Narrow" w:hAnsi="Arial Narrow" w:cs="Arial"/>
                <w:color w:val="000000" w:themeColor="text1"/>
                <w:sz w:val="16"/>
                <w:szCs w:val="16"/>
              </w:rPr>
              <w:t>Vacacional</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304,229</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194,320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-109,909</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1307</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Gratificación de Fin de Año</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608,458</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382,869</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-225,589</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1310</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Estímulo</w:t>
            </w:r>
            <w:proofErr w:type="spellEnd"/>
            <w:r w:rsidRPr="00570F57">
              <w:rPr>
                <w:rFonts w:ascii="Arial Narrow" w:hAnsi="Arial Narrow" w:cs="Arial"/>
                <w:color w:val="000000" w:themeColor="text1"/>
                <w:sz w:val="16"/>
                <w:szCs w:val="16"/>
              </w:rPr>
              <w:t xml:space="preserve"> Personal de </w:t>
            </w:r>
            <w:proofErr w:type="spellStart"/>
            <w:r w:rsidRPr="00570F57">
              <w:rPr>
                <w:rFonts w:ascii="Arial Narrow" w:hAnsi="Arial Narrow" w:cs="Arial"/>
                <w:color w:val="000000" w:themeColor="text1"/>
                <w:sz w:val="16"/>
                <w:szCs w:val="16"/>
              </w:rPr>
              <w:t>Confianza</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785,560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-785,560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1323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Ajuste</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Calendario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1324</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Compensación</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por</w:t>
            </w:r>
            <w:proofErr w:type="spellEnd"/>
            <w:r w:rsidRPr="00570F57">
              <w:rPr>
                <w:rFonts w:ascii="Arial Narrow" w:hAnsi="Arial Narrow" w:cs="Arial"/>
                <w:color w:val="000000" w:themeColor="text1"/>
                <w:sz w:val="16"/>
                <w:szCs w:val="16"/>
              </w:rPr>
              <w:t xml:space="preserve"> Bono </w:t>
            </w:r>
            <w:proofErr w:type="spellStart"/>
            <w:r w:rsidRPr="00570F57">
              <w:rPr>
                <w:rFonts w:ascii="Arial Narrow" w:hAnsi="Arial Narrow" w:cs="Arial"/>
                <w:color w:val="000000" w:themeColor="text1"/>
                <w:sz w:val="16"/>
                <w:szCs w:val="16"/>
              </w:rPr>
              <w:t>Navideño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1327</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Bono de </w:t>
            </w:r>
            <w:proofErr w:type="spellStart"/>
            <w:r w:rsidRPr="00570F57">
              <w:rPr>
                <w:rFonts w:ascii="Arial Narrow" w:hAnsi="Arial Narrow" w:cs="Arial"/>
                <w:color w:val="000000" w:themeColor="text1"/>
                <w:sz w:val="16"/>
                <w:szCs w:val="16"/>
              </w:rPr>
              <w:t>Despensa</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126,360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-126,360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1333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Bono </w:t>
            </w:r>
            <w:proofErr w:type="spellStart"/>
            <w:r w:rsidRPr="00570F57">
              <w:rPr>
                <w:rFonts w:ascii="Arial Narrow" w:hAnsi="Arial Narrow" w:cs="Arial"/>
                <w:color w:val="000000" w:themeColor="text1"/>
                <w:sz w:val="16"/>
                <w:szCs w:val="16"/>
              </w:rPr>
              <w:t>por</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Puntualidad</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17,010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-17,010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1343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Apoyo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para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Útiles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Escolares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3,875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3,875</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1344</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Apoyo para Desarrollo y Capacitación</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34,560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-34,560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1348</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Ayuda para Servicio de Transporte</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44,280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-44,280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1350</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Riesgo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Laboral</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3,270,614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3,270,614</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1351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Ayuda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para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Habitación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1,100,167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1,100,167</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1356</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Ayuda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Energía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Eléctrica</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733,444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733,444</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Serv. </w:t>
            </w:r>
            <w:proofErr w:type="spellStart"/>
            <w:r w:rsidRPr="00570F57">
              <w:rPr>
                <w:rFonts w:ascii="Arial Narrow" w:hAnsi="Arial Narrow" w:cs="Arial"/>
                <w:color w:val="000000" w:themeColor="text1"/>
                <w:sz w:val="16"/>
                <w:szCs w:val="16"/>
              </w:rPr>
              <w:t>Médico</w:t>
            </w:r>
            <w:proofErr w:type="spellEnd"/>
            <w:r w:rsidRPr="00570F57">
              <w:rPr>
                <w:rFonts w:ascii="Arial Narrow" w:hAnsi="Arial Narrow" w:cs="Arial"/>
                <w:color w:val="000000" w:themeColor="text1"/>
                <w:sz w:val="16"/>
                <w:szCs w:val="16"/>
              </w:rPr>
              <w:t xml:space="preserve"> ISSSTESON</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724,555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540,583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-183,972</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Cuota</w:t>
            </w:r>
            <w:proofErr w:type="spellEnd"/>
            <w:r w:rsidRPr="00570F57">
              <w:rPr>
                <w:rFonts w:ascii="Arial Narrow" w:hAnsi="Arial Narrow" w:cs="Arial"/>
                <w:color w:val="000000" w:themeColor="text1"/>
                <w:sz w:val="16"/>
                <w:szCs w:val="16"/>
              </w:rPr>
              <w:t xml:space="preserve"> al </w:t>
            </w:r>
            <w:proofErr w:type="spellStart"/>
            <w:r w:rsidRPr="00570F57">
              <w:rPr>
                <w:rFonts w:ascii="Arial Narrow" w:hAnsi="Arial Narrow" w:cs="Arial"/>
                <w:color w:val="000000" w:themeColor="text1"/>
                <w:sz w:val="16"/>
                <w:szCs w:val="16"/>
              </w:rPr>
              <w:t>Fovisssteson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202,360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148,838</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-53,522</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1405</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 xml:space="preserve">Pago por </w:t>
            </w:r>
            <w:proofErr w:type="spellStart"/>
            <w:r w:rsidRPr="00570F57">
              <w:rPr>
                <w:rFonts w:ascii="Arial Narrow" w:hAnsi="Arial Narrow" w:cs="Arial"/>
                <w:color w:val="000000" w:themeColor="text1"/>
                <w:sz w:val="16"/>
                <w:szCs w:val="16"/>
                <w:lang w:val="es-MX"/>
              </w:rPr>
              <w:t>Def</w:t>
            </w:r>
            <w:proofErr w:type="spellEnd"/>
            <w:r w:rsidRPr="00570F57">
              <w:rPr>
                <w:rFonts w:ascii="Arial Narrow" w:hAnsi="Arial Narrow" w:cs="Arial"/>
                <w:color w:val="000000" w:themeColor="text1"/>
                <w:sz w:val="16"/>
                <w:szCs w:val="16"/>
                <w:lang w:val="es-MX"/>
              </w:rPr>
              <w:t>., Pensión y Jubilación</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895,370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639,301</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-256,069</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1406</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Asig</w:t>
            </w:r>
            <w:proofErr w:type="spellEnd"/>
            <w:r w:rsidRPr="00570F57">
              <w:rPr>
                <w:rFonts w:ascii="Arial Narrow" w:hAnsi="Arial Narrow" w:cs="Arial"/>
                <w:color w:val="000000" w:themeColor="text1"/>
                <w:sz w:val="16"/>
                <w:szCs w:val="16"/>
                <w:lang w:val="es-MX"/>
              </w:rPr>
              <w:t>. de Préstamos a Corto Plazo</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28,295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18,604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-9,691</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1407</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Asignación</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Préstamo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Prendario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28,295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18,604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-9,691</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1408</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Otras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Prestaciones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Seg</w:t>
            </w:r>
            <w:proofErr w:type="spellEnd"/>
            <w:r w:rsidRPr="00570F57">
              <w:rPr>
                <w:rFonts w:ascii="Arial Narrow" w:hAnsi="Arial Narrow" w:cs="Arial"/>
                <w:color w:val="000000" w:themeColor="text1"/>
                <w:sz w:val="16"/>
                <w:szCs w:val="16"/>
              </w:rPr>
              <w:t>. Social</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94,145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56,079</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-38,066</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1409</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Otras Cuotas de Seguros Colectivos</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284,856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8,393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-276,463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1410</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Gastos</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Infraestructura</w:t>
            </w:r>
            <w:proofErr w:type="spellEnd"/>
            <w:r w:rsidRPr="00570F57">
              <w:rPr>
                <w:rFonts w:ascii="Arial Narrow" w:hAnsi="Arial Narrow" w:cs="Arial"/>
                <w:color w:val="000000" w:themeColor="text1"/>
                <w:sz w:val="16"/>
                <w:szCs w:val="16"/>
              </w:rPr>
              <w:t xml:space="preserve"> ISSSTESON</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22,326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37,384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15,058</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1502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Otras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Prestaciones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1,041,413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1,041,413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2101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Material de </w:t>
            </w:r>
            <w:proofErr w:type="spellStart"/>
            <w:r w:rsidRPr="00570F57">
              <w:rPr>
                <w:rFonts w:ascii="Arial Narrow" w:hAnsi="Arial Narrow" w:cs="Arial"/>
                <w:color w:val="000000" w:themeColor="text1"/>
                <w:sz w:val="16"/>
                <w:szCs w:val="16"/>
              </w:rPr>
              <w:t>Oficina</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140,702</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-159,298</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2106</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Material </w:t>
            </w:r>
            <w:proofErr w:type="spellStart"/>
            <w:r w:rsidRPr="00570F57">
              <w:rPr>
                <w:rFonts w:ascii="Arial Narrow" w:hAnsi="Arial Narrow" w:cs="Arial"/>
                <w:color w:val="000000" w:themeColor="text1"/>
                <w:sz w:val="16"/>
                <w:szCs w:val="16"/>
              </w:rPr>
              <w:t>para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Información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32,470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32,470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2201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Alimentación</w:t>
            </w:r>
            <w:proofErr w:type="spellEnd"/>
            <w:r w:rsidRPr="00570F57">
              <w:rPr>
                <w:rFonts w:ascii="Arial Narrow" w:hAnsi="Arial Narrow" w:cs="Arial"/>
                <w:color w:val="000000" w:themeColor="text1"/>
                <w:sz w:val="16"/>
                <w:szCs w:val="16"/>
              </w:rPr>
              <w:t xml:space="preserve"> de Personas</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182,257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-17,743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2207</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Adquisición</w:t>
            </w:r>
            <w:proofErr w:type="spellEnd"/>
            <w:r w:rsidRPr="00570F57">
              <w:rPr>
                <w:rFonts w:ascii="Arial Narrow" w:hAnsi="Arial Narrow" w:cs="Arial"/>
                <w:color w:val="000000" w:themeColor="text1"/>
                <w:sz w:val="16"/>
                <w:szCs w:val="16"/>
              </w:rPr>
              <w:t xml:space="preserve"> de Agua Potable</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21,314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6,314</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2302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Refacc</w:t>
            </w:r>
            <w:proofErr w:type="spellEnd"/>
            <w:r w:rsidRPr="00570F57">
              <w:rPr>
                <w:rFonts w:ascii="Arial Narrow" w:hAnsi="Arial Narrow" w:cs="Arial"/>
                <w:color w:val="000000" w:themeColor="text1"/>
                <w:sz w:val="16"/>
                <w:szCs w:val="16"/>
                <w:lang w:val="es-MX"/>
              </w:rPr>
              <w:t xml:space="preserve">., </w:t>
            </w:r>
            <w:proofErr w:type="spellStart"/>
            <w:r w:rsidRPr="00570F57">
              <w:rPr>
                <w:rFonts w:ascii="Arial Narrow" w:hAnsi="Arial Narrow" w:cs="Arial"/>
                <w:color w:val="000000" w:themeColor="text1"/>
                <w:sz w:val="16"/>
                <w:szCs w:val="16"/>
                <w:lang w:val="es-MX"/>
              </w:rPr>
              <w:t>Accs</w:t>
            </w:r>
            <w:proofErr w:type="spellEnd"/>
            <w:r w:rsidRPr="00570F57">
              <w:rPr>
                <w:rFonts w:ascii="Arial Narrow" w:hAnsi="Arial Narrow" w:cs="Arial"/>
                <w:color w:val="000000" w:themeColor="text1"/>
                <w:sz w:val="16"/>
                <w:szCs w:val="16"/>
                <w:lang w:val="es-MX"/>
              </w:rPr>
              <w:t xml:space="preserve">. </w:t>
            </w:r>
            <w:proofErr w:type="gramStart"/>
            <w:r w:rsidRPr="00570F57">
              <w:rPr>
                <w:rFonts w:ascii="Arial Narrow" w:hAnsi="Arial Narrow" w:cs="Arial"/>
                <w:color w:val="000000" w:themeColor="text1"/>
                <w:sz w:val="16"/>
                <w:szCs w:val="16"/>
                <w:lang w:val="es-MX"/>
              </w:rPr>
              <w:t>y</w:t>
            </w:r>
            <w:proofErr w:type="gramEnd"/>
            <w:r w:rsidRPr="00570F57">
              <w:rPr>
                <w:rFonts w:ascii="Arial Narrow" w:hAnsi="Arial Narrow" w:cs="Arial"/>
                <w:color w:val="000000" w:themeColor="text1"/>
                <w:sz w:val="16"/>
                <w:szCs w:val="16"/>
                <w:lang w:val="es-MX"/>
              </w:rPr>
              <w:t xml:space="preserve"> </w:t>
            </w:r>
            <w:proofErr w:type="spellStart"/>
            <w:r w:rsidRPr="00570F57">
              <w:rPr>
                <w:rFonts w:ascii="Arial Narrow" w:hAnsi="Arial Narrow" w:cs="Arial"/>
                <w:color w:val="000000" w:themeColor="text1"/>
                <w:sz w:val="16"/>
                <w:szCs w:val="16"/>
                <w:lang w:val="es-MX"/>
              </w:rPr>
              <w:t>Herram</w:t>
            </w:r>
            <w:proofErr w:type="spellEnd"/>
            <w:r w:rsidRPr="00570F57">
              <w:rPr>
                <w:rFonts w:ascii="Arial Narrow" w:hAnsi="Arial Narrow" w:cs="Arial"/>
                <w:color w:val="000000" w:themeColor="text1"/>
                <w:sz w:val="16"/>
                <w:szCs w:val="16"/>
                <w:lang w:val="es-MX"/>
              </w:rPr>
              <w:t>. Menores</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11,765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16,247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4,482</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2303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Placas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Engomados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Calcomanías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6,046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6,046</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2304</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 xml:space="preserve">Refacciones, Accesorios para </w:t>
            </w:r>
            <w:proofErr w:type="spellStart"/>
            <w:r w:rsidRPr="00570F57">
              <w:rPr>
                <w:rFonts w:ascii="Arial Narrow" w:hAnsi="Arial Narrow" w:cs="Arial"/>
                <w:color w:val="000000" w:themeColor="text1"/>
                <w:sz w:val="16"/>
                <w:szCs w:val="16"/>
                <w:lang w:val="es-MX"/>
              </w:rPr>
              <w:t>eq</w:t>
            </w:r>
            <w:proofErr w:type="spellEnd"/>
            <w:r w:rsidRPr="00570F57">
              <w:rPr>
                <w:rFonts w:ascii="Arial Narrow" w:hAnsi="Arial Narrow" w:cs="Arial"/>
                <w:color w:val="000000" w:themeColor="text1"/>
                <w:sz w:val="16"/>
                <w:szCs w:val="16"/>
                <w:lang w:val="es-MX"/>
              </w:rPr>
              <w:t xml:space="preserve">. </w:t>
            </w:r>
            <w:proofErr w:type="gramStart"/>
            <w:r w:rsidRPr="00570F57">
              <w:rPr>
                <w:rFonts w:ascii="Arial Narrow" w:hAnsi="Arial Narrow" w:cs="Arial"/>
                <w:color w:val="000000" w:themeColor="text1"/>
                <w:sz w:val="16"/>
                <w:szCs w:val="16"/>
                <w:lang w:val="es-MX"/>
              </w:rPr>
              <w:t>de</w:t>
            </w:r>
            <w:proofErr w:type="gramEnd"/>
            <w:r w:rsidRPr="00570F57">
              <w:rPr>
                <w:rFonts w:ascii="Arial Narrow" w:hAnsi="Arial Narrow" w:cs="Arial"/>
                <w:color w:val="000000" w:themeColor="text1"/>
                <w:sz w:val="16"/>
                <w:szCs w:val="16"/>
                <w:lang w:val="es-MX"/>
              </w:rPr>
              <w:t xml:space="preserve"> com.</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12,969</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12,969</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2401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Materiales</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Construcción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152,844</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152,844</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2403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Materiales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Complementarios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54,880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4,880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2601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Combustibles</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308,408</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293,260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-15,148</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3103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Servicio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Telefónico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306,433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56,433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3203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Arrendamiento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Transporte</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247,486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177,486</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3301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Asesoría</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Capacitación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1,418,000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1,068,000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3303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Servicio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Informática</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25,346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25,346</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3402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Gastos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Financieros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100,000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3403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Seguros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Fianzas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42,615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12,615</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3406</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Otros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Impuestos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Derechos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14,033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4,033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Mto</w:t>
            </w:r>
            <w:proofErr w:type="spellEnd"/>
            <w:r w:rsidRPr="00570F57">
              <w:rPr>
                <w:rFonts w:ascii="Arial Narrow" w:hAnsi="Arial Narrow" w:cs="Arial"/>
                <w:color w:val="000000" w:themeColor="text1"/>
                <w:sz w:val="16"/>
                <w:szCs w:val="16"/>
                <w:lang w:val="es-MX"/>
              </w:rPr>
              <w:t xml:space="preserve">. </w:t>
            </w:r>
            <w:proofErr w:type="gramStart"/>
            <w:r w:rsidRPr="00570F57">
              <w:rPr>
                <w:rFonts w:ascii="Arial Narrow" w:hAnsi="Arial Narrow" w:cs="Arial"/>
                <w:color w:val="000000" w:themeColor="text1"/>
                <w:sz w:val="16"/>
                <w:szCs w:val="16"/>
                <w:lang w:val="es-MX"/>
              </w:rPr>
              <w:t>y</w:t>
            </w:r>
            <w:proofErr w:type="gramEnd"/>
            <w:r w:rsidRPr="00570F57">
              <w:rPr>
                <w:rFonts w:ascii="Arial Narrow" w:hAnsi="Arial Narrow" w:cs="Arial"/>
                <w:color w:val="000000" w:themeColor="text1"/>
                <w:sz w:val="16"/>
                <w:szCs w:val="16"/>
                <w:lang w:val="es-MX"/>
              </w:rPr>
              <w:t xml:space="preserve"> Conservación </w:t>
            </w:r>
            <w:proofErr w:type="spellStart"/>
            <w:r w:rsidRPr="00570F57">
              <w:rPr>
                <w:rFonts w:ascii="Arial Narrow" w:hAnsi="Arial Narrow" w:cs="Arial"/>
                <w:color w:val="000000" w:themeColor="text1"/>
                <w:sz w:val="16"/>
                <w:szCs w:val="16"/>
                <w:lang w:val="es-MX"/>
              </w:rPr>
              <w:t>Mob</w:t>
            </w:r>
            <w:proofErr w:type="spellEnd"/>
            <w:r w:rsidRPr="00570F57">
              <w:rPr>
                <w:rFonts w:ascii="Arial Narrow" w:hAnsi="Arial Narrow" w:cs="Arial"/>
                <w:color w:val="000000" w:themeColor="text1"/>
                <w:sz w:val="16"/>
                <w:szCs w:val="16"/>
                <w:lang w:val="es-MX"/>
              </w:rPr>
              <w:t>. y Equipo</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196,880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-3,120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Mto</w:t>
            </w:r>
            <w:proofErr w:type="spellEnd"/>
            <w:r w:rsidRPr="00570F57">
              <w:rPr>
                <w:rFonts w:ascii="Arial Narrow" w:hAnsi="Arial Narrow" w:cs="Arial"/>
                <w:color w:val="000000" w:themeColor="text1"/>
                <w:sz w:val="16"/>
                <w:szCs w:val="16"/>
                <w:lang w:val="es-MX"/>
              </w:rPr>
              <w:t>. y Conservación de Inmuebles</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659,100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779,100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120,000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3505</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Mto</w:t>
            </w:r>
            <w:proofErr w:type="spellEnd"/>
            <w:r w:rsidRPr="00570F57">
              <w:rPr>
                <w:rFonts w:ascii="Arial Narrow" w:hAnsi="Arial Narrow" w:cs="Arial"/>
                <w:color w:val="000000" w:themeColor="text1"/>
                <w:sz w:val="16"/>
                <w:szCs w:val="16"/>
                <w:lang w:val="es-MX"/>
              </w:rPr>
              <w:t xml:space="preserve">. </w:t>
            </w:r>
            <w:proofErr w:type="gramStart"/>
            <w:r w:rsidRPr="00570F57">
              <w:rPr>
                <w:rFonts w:ascii="Arial Narrow" w:hAnsi="Arial Narrow" w:cs="Arial"/>
                <w:color w:val="000000" w:themeColor="text1"/>
                <w:sz w:val="16"/>
                <w:szCs w:val="16"/>
                <w:lang w:val="es-MX"/>
              </w:rPr>
              <w:t>y</w:t>
            </w:r>
            <w:proofErr w:type="gramEnd"/>
            <w:r w:rsidRPr="00570F57">
              <w:rPr>
                <w:rFonts w:ascii="Arial Narrow" w:hAnsi="Arial Narrow" w:cs="Arial"/>
                <w:color w:val="000000" w:themeColor="text1"/>
                <w:sz w:val="16"/>
                <w:szCs w:val="16"/>
                <w:lang w:val="es-MX"/>
              </w:rPr>
              <w:t xml:space="preserve"> Conservación  </w:t>
            </w:r>
            <w:proofErr w:type="spellStart"/>
            <w:r w:rsidRPr="00570F57">
              <w:rPr>
                <w:rFonts w:ascii="Arial Narrow" w:hAnsi="Arial Narrow" w:cs="Arial"/>
                <w:color w:val="000000" w:themeColor="text1"/>
                <w:sz w:val="16"/>
                <w:szCs w:val="16"/>
                <w:lang w:val="es-MX"/>
              </w:rPr>
              <w:t>Eq</w:t>
            </w:r>
            <w:proofErr w:type="spellEnd"/>
            <w:r w:rsidRPr="00570F57">
              <w:rPr>
                <w:rFonts w:ascii="Arial Narrow" w:hAnsi="Arial Narrow" w:cs="Arial"/>
                <w:color w:val="000000" w:themeColor="text1"/>
                <w:sz w:val="16"/>
                <w:szCs w:val="16"/>
                <w:lang w:val="es-MX"/>
              </w:rPr>
              <w:t>. de Transporte</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130,876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70,876</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3602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Impresiones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Publicaciones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Oficiales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2,200,000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9,304,053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7,104,053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3604</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Impresiones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Publicaciones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Oficiales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15,362</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15,362</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3703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Gastos</w:t>
            </w:r>
            <w:proofErr w:type="spellEnd"/>
            <w:r w:rsidRPr="00570F57">
              <w:rPr>
                <w:rFonts w:ascii="Arial Narrow" w:hAnsi="Arial Narrow" w:cs="Arial"/>
                <w:color w:val="000000" w:themeColor="text1"/>
                <w:sz w:val="16"/>
                <w:szCs w:val="16"/>
              </w:rPr>
              <w:t xml:space="preserve"> de Camino</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56,982</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6,982</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3801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Gastos Ceremoniales y de Orden Social</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303,323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40,850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-262,473</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3802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Congresos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Convenciones</w:t>
            </w:r>
            <w:proofErr w:type="spellEnd"/>
            <w:r w:rsidRPr="00570F57">
              <w:rPr>
                <w:rFonts w:ascii="Arial Narrow" w:hAnsi="Arial Narrow" w:cs="Arial"/>
                <w:color w:val="000000" w:themeColor="text1"/>
                <w:sz w:val="16"/>
                <w:szCs w:val="16"/>
              </w:rPr>
              <w:t xml:space="preserve"> y Exp.</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981,975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581,975</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3907</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Ayudas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Diversas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2,868,526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318,526</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4101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Apoyo  para Organismos  e Instituciones</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2,700,000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2,900,000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5101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Mobiliario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Administración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5102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Administración</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61,442</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61,442</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5103</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Educacional</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Recreativo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38,120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38,120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5204</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Equipos y Aparatos de Comunicación</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10,175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10,175</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5206</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Computación</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Electrónica</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80,000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5301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Vehículos y Equipos de Transporte</w:t>
            </w:r>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270,000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270,000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5401</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Médico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lastRenderedPageBreak/>
              <w:t>5402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Instrumental </w:t>
            </w:r>
            <w:proofErr w:type="spellStart"/>
            <w:r w:rsidRPr="00570F57">
              <w:rPr>
                <w:rFonts w:ascii="Arial Narrow" w:hAnsi="Arial Narrow" w:cs="Arial"/>
                <w:color w:val="000000" w:themeColor="text1"/>
                <w:sz w:val="16"/>
                <w:szCs w:val="16"/>
              </w:rPr>
              <w:t>Médico</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5,000</w:t>
            </w:r>
          </w:p>
        </w:tc>
      </w:tr>
      <w:tr w:rsidR="00F71160" w:rsidRPr="00570F57" w:rsidTr="00BC2B4C">
        <w:trPr>
          <w:trHeight w:val="57"/>
        </w:trPr>
        <w:tc>
          <w:tcPr>
            <w:tcW w:w="7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9" w:after="9"/>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5502</w:t>
            </w:r>
          </w:p>
        </w:tc>
        <w:tc>
          <w:tcPr>
            <w:tcW w:w="272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Refacciones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Accesorios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Mayores</w:t>
            </w:r>
            <w:proofErr w:type="spellEnd"/>
          </w:p>
        </w:tc>
        <w:tc>
          <w:tcPr>
            <w:tcW w:w="10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24,956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9" w:after="9"/>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24,956</w:t>
            </w:r>
          </w:p>
        </w:tc>
      </w:tr>
    </w:tbl>
    <w:p w:rsidR="00F71160" w:rsidRPr="00570F57" w:rsidRDefault="00F71160" w:rsidP="00F71160">
      <w:pPr>
        <w:jc w:val="both"/>
        <w:rPr>
          <w:rFonts w:ascii="Arial Narrow" w:hAnsi="Arial Narrow"/>
          <w:color w:val="000000" w:themeColor="text1"/>
          <w:u w:val="single"/>
        </w:rPr>
      </w:pPr>
    </w:p>
    <w:p w:rsidR="001D1C6D" w:rsidRPr="00570F57" w:rsidRDefault="001D1C6D" w:rsidP="00041B68">
      <w:pPr>
        <w:ind w:left="1276" w:right="-73"/>
        <w:rPr>
          <w:rFonts w:ascii="Century Gothic" w:hAnsi="Century Gothic" w:cs="Century Gothic"/>
          <w:color w:val="000000" w:themeColor="text1"/>
          <w:sz w:val="14"/>
          <w:szCs w:val="14"/>
          <w:lang w:val="es-ES_tradnl"/>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4"/>
        <w:gridCol w:w="2900"/>
        <w:gridCol w:w="3163"/>
      </w:tblGrid>
      <w:tr w:rsidR="003E3B94" w:rsidRPr="00570F57" w:rsidTr="00BC2B4C">
        <w:trPr>
          <w:trHeight w:val="572"/>
        </w:trPr>
        <w:tc>
          <w:tcPr>
            <w:tcW w:w="675" w:type="dxa"/>
            <w:shd w:val="clear" w:color="auto" w:fill="CCCCCC"/>
            <w:vAlign w:val="center"/>
          </w:tcPr>
          <w:p w:rsidR="003E3B94" w:rsidRPr="00570F57" w:rsidRDefault="003E3B94"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No.</w:t>
            </w:r>
          </w:p>
        </w:tc>
        <w:tc>
          <w:tcPr>
            <w:tcW w:w="3314" w:type="dxa"/>
            <w:shd w:val="clear" w:color="auto" w:fill="CCCCCC"/>
            <w:vAlign w:val="center"/>
          </w:tcPr>
          <w:p w:rsidR="003E3B94" w:rsidRPr="00570F57" w:rsidRDefault="003E3B94" w:rsidP="00BC2B4C">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2900" w:type="dxa"/>
            <w:shd w:val="clear" w:color="auto" w:fill="CCCCCC"/>
          </w:tcPr>
          <w:p w:rsidR="003E3B94" w:rsidRPr="00570F57" w:rsidRDefault="003E3B94" w:rsidP="00BC2B4C">
            <w:pPr>
              <w:jc w:val="center"/>
              <w:rPr>
                <w:rFonts w:ascii="Arial" w:hAnsi="Arial" w:cs="Arial"/>
                <w:b/>
                <w:color w:val="000000" w:themeColor="text1"/>
                <w:sz w:val="20"/>
                <w:szCs w:val="20"/>
                <w:lang w:val="es-MX"/>
              </w:rPr>
            </w:pPr>
          </w:p>
          <w:p w:rsidR="003E3B94" w:rsidRPr="00570F57" w:rsidRDefault="003E3B94"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3163" w:type="dxa"/>
            <w:shd w:val="clear" w:color="auto" w:fill="CCCCCC"/>
            <w:vAlign w:val="center"/>
          </w:tcPr>
          <w:p w:rsidR="003E3B94" w:rsidRPr="00570F57" w:rsidRDefault="003E3B94" w:rsidP="00BC2B4C">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3E3B94" w:rsidRPr="00BA748E" w:rsidTr="00BC2B4C">
        <w:trPr>
          <w:trHeight w:val="182"/>
        </w:trPr>
        <w:tc>
          <w:tcPr>
            <w:tcW w:w="675" w:type="dxa"/>
            <w:vAlign w:val="center"/>
          </w:tcPr>
          <w:p w:rsidR="003E3B94" w:rsidRPr="00570F57" w:rsidRDefault="00F71160" w:rsidP="00BC2B4C">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4</w:t>
            </w:r>
          </w:p>
        </w:tc>
        <w:tc>
          <w:tcPr>
            <w:tcW w:w="3314" w:type="dxa"/>
          </w:tcPr>
          <w:p w:rsidR="003E3B94" w:rsidRPr="00570F57" w:rsidRDefault="00772FE6" w:rsidP="00BC2B4C">
            <w:pPr>
              <w:spacing w:after="0"/>
              <w:ind w:left="33"/>
              <w:jc w:val="both"/>
              <w:rPr>
                <w:rFonts w:ascii="Arial Narrow" w:hAnsi="Arial Narrow" w:cs="Arial"/>
                <w:color w:val="000000" w:themeColor="text1"/>
                <w:lang w:val="es-MX"/>
              </w:rPr>
            </w:pPr>
            <w:r w:rsidRPr="00570F57">
              <w:rPr>
                <w:rFonts w:ascii="Arial Narrow" w:hAnsi="Arial Narrow"/>
                <w:color w:val="000000" w:themeColor="text1"/>
                <w:lang w:val="es-MX"/>
              </w:rPr>
              <w:t xml:space="preserve">16.- </w:t>
            </w:r>
            <w:r w:rsidR="00F71160" w:rsidRPr="00570F57">
              <w:rPr>
                <w:rFonts w:ascii="Arial Narrow" w:hAnsi="Arial Narrow"/>
                <w:color w:val="000000" w:themeColor="text1"/>
                <w:lang w:val="es-MX"/>
              </w:rPr>
              <w:t>En el informe relativo al cuarto trimestre de 2010 no se manifestaron en el formato EVTOP-04, las justificaciones así como el impacto que tendrán en la estructura programática, en relación con las modificaciones al presupuesto original de ciertas partidas reportadas en el formato EVTOP-02 denominado “Analítico de Recursos Ejercidos por Partida Presupuestal</w:t>
            </w:r>
          </w:p>
        </w:tc>
        <w:tc>
          <w:tcPr>
            <w:tcW w:w="2900" w:type="dxa"/>
          </w:tcPr>
          <w:p w:rsidR="00E8008A" w:rsidRPr="00570F57" w:rsidRDefault="00BC2078" w:rsidP="00BC2078">
            <w:pPr>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En relación a las variaciones de algunas partidas, reportadas en el formato EVTOP-02 y las cuales no se justificaron en el formato EVTOP-04, se informa que estas variaciones, tanto en las partidas, como en el presupuesto de</w:t>
            </w:r>
            <w:r w:rsidR="00E8008A" w:rsidRPr="00570F57">
              <w:rPr>
                <w:rFonts w:ascii="Arial Narrow" w:hAnsi="Arial Narrow" w:cs="Arial"/>
                <w:color w:val="000000" w:themeColor="text1"/>
                <w:sz w:val="20"/>
                <w:szCs w:val="20"/>
                <w:lang w:val="es-MX"/>
              </w:rPr>
              <w:t xml:space="preserve">l </w:t>
            </w:r>
            <w:r w:rsidRPr="00570F57">
              <w:rPr>
                <w:rFonts w:ascii="Arial Narrow" w:hAnsi="Arial Narrow" w:cs="Arial"/>
                <w:color w:val="000000" w:themeColor="text1"/>
                <w:sz w:val="20"/>
                <w:szCs w:val="20"/>
                <w:lang w:val="es-MX"/>
              </w:rPr>
              <w:t xml:space="preserve"> capítulo</w:t>
            </w:r>
            <w:r w:rsidR="00E8008A" w:rsidRPr="00570F57">
              <w:rPr>
                <w:rFonts w:ascii="Arial Narrow" w:hAnsi="Arial Narrow" w:cs="Arial"/>
                <w:color w:val="000000" w:themeColor="text1"/>
                <w:sz w:val="20"/>
                <w:szCs w:val="20"/>
                <w:lang w:val="es-MX"/>
              </w:rPr>
              <w:t xml:space="preserve"> 1000 que tuvo un incremento de $ 455,561, dichos incrementos se realizan en el área de la Dirección General de Recursos Humanos a través de un fondo que tienen para cubrir dichos ajustes presupuestales a este capítulo.</w:t>
            </w:r>
          </w:p>
          <w:p w:rsidR="00E8008A" w:rsidRPr="00570F57" w:rsidRDefault="00E8008A" w:rsidP="00BC2078">
            <w:pPr>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En el capítulo 2000 se muestra un incremento de $27,816, lo cual no afecta en la estructura programática presupuestal.</w:t>
            </w:r>
          </w:p>
          <w:p w:rsidR="003E3B94" w:rsidRPr="00570F57" w:rsidRDefault="00E8008A" w:rsidP="00A654CE">
            <w:pPr>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 xml:space="preserve">Dentro del capítulo </w:t>
            </w:r>
            <w:r w:rsidR="00BC2078" w:rsidRPr="00570F57">
              <w:rPr>
                <w:rFonts w:ascii="Arial Narrow" w:hAnsi="Arial Narrow" w:cs="Arial"/>
                <w:color w:val="000000" w:themeColor="text1"/>
                <w:sz w:val="20"/>
                <w:szCs w:val="20"/>
                <w:lang w:val="es-MX"/>
              </w:rPr>
              <w:t xml:space="preserve"> 3000,</w:t>
            </w:r>
            <w:r w:rsidRPr="00570F57">
              <w:rPr>
                <w:rFonts w:ascii="Arial Narrow" w:hAnsi="Arial Narrow" w:cs="Arial"/>
                <w:color w:val="000000" w:themeColor="text1"/>
                <w:sz w:val="20"/>
                <w:szCs w:val="20"/>
                <w:lang w:val="es-MX"/>
              </w:rPr>
              <w:t xml:space="preserve"> se muestra una diferencia por $ 9</w:t>
            </w:r>
            <w:proofErr w:type="gramStart"/>
            <w:r w:rsidRPr="00570F57">
              <w:rPr>
                <w:rFonts w:ascii="Arial Narrow" w:hAnsi="Arial Narrow" w:cs="Arial"/>
                <w:color w:val="000000" w:themeColor="text1"/>
                <w:sz w:val="20"/>
                <w:szCs w:val="20"/>
                <w:lang w:val="es-MX"/>
              </w:rPr>
              <w:t>,396,094</w:t>
            </w:r>
            <w:proofErr w:type="gramEnd"/>
            <w:r w:rsidRPr="00570F57">
              <w:rPr>
                <w:rFonts w:ascii="Arial Narrow" w:hAnsi="Arial Narrow" w:cs="Arial"/>
                <w:color w:val="000000" w:themeColor="text1"/>
                <w:sz w:val="20"/>
                <w:szCs w:val="20"/>
                <w:lang w:val="es-MX"/>
              </w:rPr>
              <w:t xml:space="preserve"> como un saldo que se debió a algunos apoyos extraordinarios </w:t>
            </w:r>
            <w:r w:rsidR="00BC2078" w:rsidRPr="00570F57">
              <w:rPr>
                <w:rFonts w:ascii="Arial Narrow" w:hAnsi="Arial Narrow" w:cs="Arial"/>
                <w:color w:val="000000" w:themeColor="text1"/>
                <w:sz w:val="20"/>
                <w:szCs w:val="20"/>
                <w:lang w:val="es-MX"/>
              </w:rPr>
              <w:t>recibidos por diferentes instancias, según consta</w:t>
            </w:r>
            <w:r w:rsidR="00C6399D" w:rsidRPr="00570F57">
              <w:rPr>
                <w:rFonts w:ascii="Arial Narrow" w:hAnsi="Arial Narrow" w:cs="Arial"/>
                <w:color w:val="000000" w:themeColor="text1"/>
                <w:sz w:val="20"/>
                <w:szCs w:val="20"/>
                <w:lang w:val="es-MX"/>
              </w:rPr>
              <w:t xml:space="preserve"> y se especifica en </w:t>
            </w:r>
            <w:r w:rsidR="00C6399D" w:rsidRPr="00570F57">
              <w:rPr>
                <w:rFonts w:ascii="Arial Narrow" w:hAnsi="Arial Narrow" w:cs="Arial"/>
                <w:b/>
                <w:color w:val="000000" w:themeColor="text1"/>
                <w:sz w:val="20"/>
                <w:szCs w:val="20"/>
                <w:lang w:val="es-MX"/>
              </w:rPr>
              <w:t>anexo No.</w:t>
            </w:r>
            <w:r w:rsidR="00805BD3" w:rsidRPr="00570F57">
              <w:rPr>
                <w:rFonts w:ascii="Arial Narrow" w:hAnsi="Arial Narrow" w:cs="Arial"/>
                <w:b/>
                <w:color w:val="000000" w:themeColor="text1"/>
                <w:sz w:val="20"/>
                <w:szCs w:val="20"/>
                <w:lang w:val="es-MX"/>
              </w:rPr>
              <w:t xml:space="preserve"> 4</w:t>
            </w:r>
            <w:r w:rsidR="00BC2078" w:rsidRPr="00570F57">
              <w:rPr>
                <w:rFonts w:ascii="Arial Narrow" w:hAnsi="Arial Narrow" w:cs="Arial"/>
                <w:color w:val="000000" w:themeColor="text1"/>
                <w:sz w:val="20"/>
                <w:szCs w:val="20"/>
                <w:lang w:val="es-MX"/>
              </w:rPr>
              <w:t>.  Estos apoyos fueron con el fin de hacer frente a algunos incrementos de actividades, principalmente en los programas de</w:t>
            </w:r>
            <w:r w:rsidRPr="00570F57">
              <w:rPr>
                <w:rFonts w:ascii="Arial Narrow" w:hAnsi="Arial Narrow" w:cs="Arial"/>
                <w:color w:val="000000" w:themeColor="text1"/>
                <w:sz w:val="20"/>
                <w:szCs w:val="20"/>
                <w:lang w:val="es-MX"/>
              </w:rPr>
              <w:t xml:space="preserve"> Cero Grados, </w:t>
            </w:r>
            <w:proofErr w:type="spellStart"/>
            <w:r w:rsidRPr="00570F57">
              <w:rPr>
                <w:rFonts w:ascii="Arial Narrow" w:hAnsi="Arial Narrow" w:cs="Arial"/>
                <w:color w:val="000000" w:themeColor="text1"/>
                <w:sz w:val="20"/>
                <w:szCs w:val="20"/>
                <w:lang w:val="es-MX"/>
              </w:rPr>
              <w:t>Alpha</w:t>
            </w:r>
            <w:proofErr w:type="spellEnd"/>
            <w:r w:rsidRPr="00570F57">
              <w:rPr>
                <w:rFonts w:ascii="Arial Narrow" w:hAnsi="Arial Narrow" w:cs="Arial"/>
                <w:color w:val="000000" w:themeColor="text1"/>
                <w:sz w:val="20"/>
                <w:szCs w:val="20"/>
                <w:lang w:val="es-MX"/>
              </w:rPr>
              <w:t xml:space="preserve">, Premio Estatal de la Juventud, entre otros. </w:t>
            </w:r>
            <w:r w:rsidR="00BC2078" w:rsidRPr="00570F57">
              <w:rPr>
                <w:rFonts w:ascii="Arial Narrow" w:hAnsi="Arial Narrow" w:cs="Arial"/>
                <w:color w:val="000000" w:themeColor="text1"/>
                <w:sz w:val="20"/>
                <w:szCs w:val="20"/>
                <w:lang w:val="es-MX"/>
              </w:rPr>
              <w:t xml:space="preserve"> Incrementándose principalmente las partidas: 3602 “Impresiones y Publicaciones Oficiales” (principalmente por la gran cantidad de publicidad impresa que estos programas requirieron);</w:t>
            </w:r>
            <w:r w:rsidRPr="00570F57">
              <w:rPr>
                <w:rFonts w:ascii="Arial Narrow" w:hAnsi="Arial Narrow" w:cs="Arial"/>
                <w:color w:val="000000" w:themeColor="text1"/>
                <w:sz w:val="20"/>
                <w:szCs w:val="20"/>
                <w:lang w:val="es-MX"/>
              </w:rPr>
              <w:t xml:space="preserve"> y la 3301 “asesoría y capacitación” debido a la necesidad de tener un asesor </w:t>
            </w:r>
            <w:r w:rsidR="00424AA1" w:rsidRPr="00570F57">
              <w:rPr>
                <w:rFonts w:ascii="Arial Narrow" w:hAnsi="Arial Narrow" w:cs="Arial"/>
                <w:color w:val="000000" w:themeColor="text1"/>
                <w:sz w:val="20"/>
                <w:szCs w:val="20"/>
                <w:lang w:val="es-MX"/>
              </w:rPr>
              <w:t xml:space="preserve">en materia de diseño, estrategia y supervisión de producción de los programas antes mencionados. </w:t>
            </w:r>
          </w:p>
        </w:tc>
        <w:tc>
          <w:tcPr>
            <w:tcW w:w="3163" w:type="dxa"/>
          </w:tcPr>
          <w:p w:rsidR="00BC2078" w:rsidRPr="00570F57" w:rsidRDefault="00424AA1" w:rsidP="00BC2078">
            <w:pPr>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En lo que re</w:t>
            </w:r>
            <w:r w:rsidR="005C5D59" w:rsidRPr="00570F57">
              <w:rPr>
                <w:rFonts w:ascii="Arial Narrow" w:hAnsi="Arial Narrow" w:cs="Arial"/>
                <w:color w:val="000000" w:themeColor="text1"/>
                <w:sz w:val="20"/>
                <w:szCs w:val="20"/>
                <w:lang w:val="es-MX"/>
              </w:rPr>
              <w:t>specta al capítulo 4000, se muestra</w:t>
            </w:r>
            <w:r w:rsidRPr="00570F57">
              <w:rPr>
                <w:rFonts w:ascii="Arial Narrow" w:hAnsi="Arial Narrow" w:cs="Arial"/>
                <w:color w:val="000000" w:themeColor="text1"/>
                <w:sz w:val="20"/>
                <w:szCs w:val="20"/>
                <w:lang w:val="es-MX"/>
              </w:rPr>
              <w:t xml:space="preserve"> un incremento de $200,000 debido a que en el transcurso del ejercicio 2010 se incorporo una casa de estudiantes por</w:t>
            </w:r>
            <w:r w:rsidR="005C5D59" w:rsidRPr="00570F57">
              <w:rPr>
                <w:rFonts w:ascii="Arial Narrow" w:hAnsi="Arial Narrow" w:cs="Arial"/>
                <w:color w:val="000000" w:themeColor="text1"/>
                <w:sz w:val="20"/>
                <w:szCs w:val="20"/>
                <w:lang w:val="es-MX"/>
              </w:rPr>
              <w:t xml:space="preserve"> lo que se tuvo que realizar una modificación presupuestal interna para no afectar la estructura programática presupuestal.</w:t>
            </w:r>
          </w:p>
          <w:p w:rsidR="005C5D59" w:rsidRPr="00570F57" w:rsidRDefault="005C5D59" w:rsidP="00BC2078">
            <w:pPr>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Respecto al capítulo 5000 se tuvo un incremento el cual se realizo con modificaciones presupuestales internas, por lo que no afecto la estructura presupuestal.</w:t>
            </w:r>
          </w:p>
          <w:p w:rsidR="005F0467" w:rsidRPr="00570F57" w:rsidRDefault="005F0467" w:rsidP="00BC2078">
            <w:pPr>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 xml:space="preserve">Si bien dentro del EVTOP 04  no se hace una justificación específica de cada una de las partidas, si se muestra dentro del mismo formato los ingresos extraordinarios percibidos que son los que hacen que presenten incrementos algunas partidas, además de que también se plasma las modificaciones presupuestales que se realizaron durante el periodo y el impacto que estas tuvieron fue el haber tenido un ejercicio fiscal con una mejor operación de esta institución. </w:t>
            </w:r>
          </w:p>
          <w:p w:rsidR="003E3B94" w:rsidRPr="00570F57" w:rsidRDefault="00BC2078" w:rsidP="00805BD3">
            <w:pPr>
              <w:ind w:left="70"/>
              <w:jc w:val="both"/>
              <w:rPr>
                <w:rFonts w:ascii="Arial Narrow" w:hAnsi="Arial Narrow" w:cs="Arial"/>
                <w:color w:val="000000" w:themeColor="text1"/>
                <w:sz w:val="20"/>
                <w:szCs w:val="20"/>
                <w:lang w:val="es-MX"/>
              </w:rPr>
            </w:pPr>
            <w:r w:rsidRPr="00570F57">
              <w:rPr>
                <w:rFonts w:ascii="Arial Narrow" w:hAnsi="Arial Narrow" w:cs="Arial"/>
                <w:color w:val="000000" w:themeColor="text1"/>
                <w:sz w:val="20"/>
                <w:szCs w:val="20"/>
                <w:lang w:val="es-MX"/>
              </w:rPr>
              <w:t xml:space="preserve">Respecto al incremento del capítulo 3000, se envía informe  detallado de dicho incremento, </w:t>
            </w:r>
            <w:r w:rsidRPr="00570F57">
              <w:rPr>
                <w:rFonts w:ascii="Arial Narrow" w:hAnsi="Arial Narrow" w:cs="Arial"/>
                <w:b/>
                <w:color w:val="000000" w:themeColor="text1"/>
                <w:sz w:val="20"/>
                <w:szCs w:val="20"/>
                <w:lang w:val="es-MX"/>
              </w:rPr>
              <w:t>según Anexo No</w:t>
            </w:r>
            <w:r w:rsidR="00805BD3" w:rsidRPr="00570F57">
              <w:rPr>
                <w:rFonts w:ascii="Arial Narrow" w:hAnsi="Arial Narrow" w:cs="Arial"/>
                <w:color w:val="000000" w:themeColor="text1"/>
                <w:sz w:val="20"/>
                <w:szCs w:val="20"/>
                <w:lang w:val="es-MX"/>
              </w:rPr>
              <w:t>.</w:t>
            </w:r>
            <w:r w:rsidR="00805BD3" w:rsidRPr="00570F57">
              <w:rPr>
                <w:rFonts w:ascii="Arial Narrow" w:hAnsi="Arial Narrow" w:cs="Arial"/>
                <w:b/>
                <w:color w:val="000000" w:themeColor="text1"/>
                <w:sz w:val="20"/>
                <w:szCs w:val="20"/>
                <w:lang w:val="es-MX"/>
              </w:rPr>
              <w:t xml:space="preserve"> 4</w:t>
            </w:r>
            <w:r w:rsidR="00805BD3" w:rsidRPr="00570F57">
              <w:rPr>
                <w:rFonts w:ascii="Arial Narrow" w:hAnsi="Arial Narrow" w:cs="Arial"/>
                <w:color w:val="000000" w:themeColor="text1"/>
                <w:sz w:val="20"/>
                <w:szCs w:val="20"/>
                <w:lang w:val="es-MX"/>
              </w:rPr>
              <w:t>.</w:t>
            </w:r>
          </w:p>
          <w:p w:rsidR="00253156" w:rsidRPr="00570F57" w:rsidRDefault="00253156" w:rsidP="00805BD3">
            <w:pPr>
              <w:ind w:left="70"/>
              <w:jc w:val="both"/>
              <w:rPr>
                <w:rFonts w:ascii="Arial Narrow" w:hAnsi="Arial Narrow" w:cs="Arial"/>
                <w:color w:val="000000" w:themeColor="text1"/>
                <w:lang w:val="es-MX"/>
              </w:rPr>
            </w:pPr>
            <w:r w:rsidRPr="00570F57">
              <w:rPr>
                <w:rFonts w:ascii="Arial Narrow" w:hAnsi="Arial Narrow" w:cs="Arial"/>
                <w:color w:val="000000" w:themeColor="text1"/>
                <w:sz w:val="20"/>
                <w:szCs w:val="20"/>
                <w:lang w:val="es-MX"/>
              </w:rPr>
              <w:t xml:space="preserve">De igual manera se anexa copia del oficio enviado a la auxiliar contable para prevenir este tipo de observaciones. </w:t>
            </w:r>
          </w:p>
        </w:tc>
      </w:tr>
    </w:tbl>
    <w:p w:rsidR="00041B68" w:rsidRPr="00570F57" w:rsidRDefault="00041B68">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3E3B94" w:rsidRPr="00570F57" w:rsidRDefault="003E3B94">
      <w:pPr>
        <w:ind w:left="1276" w:right="-73"/>
        <w:rPr>
          <w:rFonts w:ascii="Century Gothic" w:hAnsi="Century Gothic" w:cs="Century Gothic"/>
          <w:color w:val="000000" w:themeColor="text1"/>
          <w:sz w:val="14"/>
          <w:szCs w:val="14"/>
          <w:lang w:val="es-ES_tradnl"/>
        </w:rPr>
      </w:pPr>
    </w:p>
    <w:p w:rsidR="00F71160" w:rsidRPr="00570F57" w:rsidRDefault="00F71160">
      <w:pPr>
        <w:ind w:left="1276" w:right="-73"/>
        <w:rPr>
          <w:rFonts w:ascii="Century Gothic" w:hAnsi="Century Gothic" w:cs="Century Gothic"/>
          <w:color w:val="000000" w:themeColor="text1"/>
          <w:sz w:val="14"/>
          <w:szCs w:val="14"/>
          <w:lang w:val="es-ES_tradnl"/>
        </w:rPr>
      </w:pPr>
    </w:p>
    <w:p w:rsidR="00F71160" w:rsidRPr="00570F57" w:rsidRDefault="00F71160" w:rsidP="00F71160">
      <w:pPr>
        <w:pStyle w:val="NormalArial"/>
        <w:numPr>
          <w:ilvl w:val="0"/>
          <w:numId w:val="6"/>
        </w:numPr>
        <w:rPr>
          <w:rFonts w:ascii="Arial Narrow" w:hAnsi="Arial Narrow"/>
          <w:b/>
          <w:color w:val="000000" w:themeColor="text1"/>
        </w:rPr>
      </w:pPr>
      <w:r w:rsidRPr="00570F57">
        <w:rPr>
          <w:rFonts w:ascii="Arial Narrow" w:hAnsi="Arial Narrow"/>
          <w:b/>
          <w:color w:val="000000" w:themeColor="text1"/>
        </w:rPr>
        <w:t>En relación con el formato EVTOP-02 denominado “Analítico de Recursos Ejercidos por Partida Presupuestal”, relativo al informe del Cuarto Trimestre de 2010, no se manifestó en el formato EVTOP-04 la justificación correspondiente en cuanto al registro de la disminución de la partida del gasto 5502 denominada “Refacciones y Accesorios Mayores” por $40,826.</w:t>
      </w:r>
    </w:p>
    <w:p w:rsidR="003E3B94" w:rsidRPr="00570F57" w:rsidRDefault="003E3B94">
      <w:pPr>
        <w:ind w:left="1276" w:right="-73"/>
        <w:rPr>
          <w:rFonts w:ascii="Century Gothic" w:hAnsi="Century Gothic" w:cs="Century Gothic"/>
          <w:color w:val="000000" w:themeColor="text1"/>
          <w:sz w:val="14"/>
          <w:szCs w:val="14"/>
          <w:lang w:val="es-ES_tradnl"/>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4"/>
        <w:gridCol w:w="2900"/>
        <w:gridCol w:w="3163"/>
      </w:tblGrid>
      <w:tr w:rsidR="00F71160" w:rsidRPr="00570F57" w:rsidTr="00BC2B4C">
        <w:trPr>
          <w:trHeight w:val="572"/>
        </w:trPr>
        <w:tc>
          <w:tcPr>
            <w:tcW w:w="675" w:type="dxa"/>
            <w:shd w:val="clear" w:color="auto" w:fill="CCCCCC"/>
            <w:vAlign w:val="center"/>
          </w:tcPr>
          <w:p w:rsidR="00F71160" w:rsidRPr="00570F57" w:rsidRDefault="00F71160"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No.</w:t>
            </w:r>
          </w:p>
        </w:tc>
        <w:tc>
          <w:tcPr>
            <w:tcW w:w="3314" w:type="dxa"/>
            <w:shd w:val="clear" w:color="auto" w:fill="CCCCCC"/>
            <w:vAlign w:val="center"/>
          </w:tcPr>
          <w:p w:rsidR="00F71160" w:rsidRPr="00570F57" w:rsidRDefault="00F71160" w:rsidP="00BC2B4C">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2900" w:type="dxa"/>
            <w:shd w:val="clear" w:color="auto" w:fill="CCCCCC"/>
          </w:tcPr>
          <w:p w:rsidR="00F71160" w:rsidRPr="00570F57" w:rsidRDefault="00F71160" w:rsidP="00BC2B4C">
            <w:pPr>
              <w:jc w:val="center"/>
              <w:rPr>
                <w:rFonts w:ascii="Arial" w:hAnsi="Arial" w:cs="Arial"/>
                <w:b/>
                <w:color w:val="000000" w:themeColor="text1"/>
                <w:sz w:val="20"/>
                <w:szCs w:val="20"/>
                <w:lang w:val="es-MX"/>
              </w:rPr>
            </w:pPr>
          </w:p>
          <w:p w:rsidR="00F71160" w:rsidRPr="00570F57" w:rsidRDefault="00F71160"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3163" w:type="dxa"/>
            <w:shd w:val="clear" w:color="auto" w:fill="CCCCCC"/>
            <w:vAlign w:val="center"/>
          </w:tcPr>
          <w:p w:rsidR="00F71160" w:rsidRPr="00570F57" w:rsidRDefault="00F71160" w:rsidP="00BC2B4C">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F71160" w:rsidRPr="00BA748E" w:rsidTr="00BC2B4C">
        <w:trPr>
          <w:trHeight w:val="182"/>
        </w:trPr>
        <w:tc>
          <w:tcPr>
            <w:tcW w:w="675" w:type="dxa"/>
            <w:vAlign w:val="center"/>
          </w:tcPr>
          <w:p w:rsidR="00F71160" w:rsidRPr="00570F57" w:rsidRDefault="00F71160" w:rsidP="00BC2B4C">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5</w:t>
            </w:r>
          </w:p>
        </w:tc>
        <w:tc>
          <w:tcPr>
            <w:tcW w:w="3314" w:type="dxa"/>
          </w:tcPr>
          <w:p w:rsidR="00F71160" w:rsidRPr="00570F57" w:rsidRDefault="00772FE6" w:rsidP="00532780">
            <w:pPr>
              <w:pStyle w:val="NormalArial"/>
              <w:tabs>
                <w:tab w:val="clear" w:pos="360"/>
              </w:tabs>
              <w:ind w:left="0" w:hanging="108"/>
              <w:rPr>
                <w:rFonts w:ascii="Arial Narrow" w:hAnsi="Arial Narrow"/>
                <w:color w:val="000000" w:themeColor="text1"/>
              </w:rPr>
            </w:pPr>
            <w:r w:rsidRPr="00570F57">
              <w:rPr>
                <w:rFonts w:ascii="Arial Narrow" w:hAnsi="Arial Narrow"/>
                <w:color w:val="000000" w:themeColor="text1"/>
              </w:rPr>
              <w:t xml:space="preserve">17.- </w:t>
            </w:r>
            <w:r w:rsidR="00F71160" w:rsidRPr="00570F57">
              <w:rPr>
                <w:rFonts w:ascii="Arial Narrow" w:hAnsi="Arial Narrow"/>
                <w:color w:val="000000" w:themeColor="text1"/>
              </w:rPr>
              <w:t>En relación con el formato EVTOP-02 denominado “Analítico de Recursos Ejercidos por Partida Presupuestal”, relativo al informe del Cuarto Trimestre de 2010, no se manifestó en el formato EVTOP-04 la justificación correspondiente en cuanto al registro de la disminución de la partida del gasto 5502 denominada “Refacciones y Accesorios Mayores” por $40,826.</w:t>
            </w:r>
          </w:p>
          <w:p w:rsidR="00F71160" w:rsidRPr="00570F57" w:rsidRDefault="00F71160" w:rsidP="00BC2B4C">
            <w:pPr>
              <w:spacing w:after="0"/>
              <w:ind w:left="33"/>
              <w:jc w:val="both"/>
              <w:rPr>
                <w:rFonts w:ascii="Arial Narrow" w:hAnsi="Arial Narrow" w:cs="Arial"/>
                <w:color w:val="000000" w:themeColor="text1"/>
                <w:lang w:val="es-ES"/>
              </w:rPr>
            </w:pPr>
          </w:p>
        </w:tc>
        <w:tc>
          <w:tcPr>
            <w:tcW w:w="2900" w:type="dxa"/>
          </w:tcPr>
          <w:p w:rsidR="00532780" w:rsidRPr="00570F57" w:rsidRDefault="00532780" w:rsidP="00532780">
            <w:pPr>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Respecto a la presente observación donde nos señalan que no se justifico  en el formato EVTOP 04 el registro de la disminución </w:t>
            </w:r>
            <w:r w:rsidR="00A53BD1" w:rsidRPr="00570F57">
              <w:rPr>
                <w:rFonts w:ascii="Arial Narrow" w:hAnsi="Arial Narrow" w:cs="Arial"/>
                <w:color w:val="000000" w:themeColor="text1"/>
                <w:lang w:val="es-MX"/>
              </w:rPr>
              <w:t>de la partida 5502.</w:t>
            </w:r>
          </w:p>
          <w:p w:rsidR="00F71160" w:rsidRPr="00570F57" w:rsidRDefault="00DA57A0" w:rsidP="001C0914">
            <w:pPr>
              <w:jc w:val="both"/>
              <w:rPr>
                <w:rFonts w:ascii="Arial Narrow" w:hAnsi="Arial Narrow" w:cs="Arial"/>
                <w:color w:val="000000" w:themeColor="text1"/>
                <w:lang w:val="es-MX"/>
              </w:rPr>
            </w:pPr>
            <w:r w:rsidRPr="00570F57">
              <w:rPr>
                <w:rFonts w:ascii="Arial Narrow" w:hAnsi="Arial Narrow" w:cs="Arial"/>
                <w:color w:val="000000" w:themeColor="text1"/>
                <w:lang w:val="es-MX"/>
              </w:rPr>
              <w:t>C</w:t>
            </w:r>
            <w:r w:rsidR="001C0914" w:rsidRPr="00570F57">
              <w:rPr>
                <w:rFonts w:ascii="Arial Narrow" w:hAnsi="Arial Narrow" w:cs="Arial"/>
                <w:color w:val="000000" w:themeColor="text1"/>
                <w:lang w:val="es-MX"/>
              </w:rPr>
              <w:t>abe hacer mención que al principio se habían realizado los registros contables a la cuenta de “Refacciones y accesorios mayores” ya que no se conocía a ciencia cierta la partida que se utilizaría, encontrando la de “unidades y Accesorios para equipo de aire acondicionado” percatándonos hasta el cuarto trimestre que la partida correcta era la 5102 “Equipo de Administración” haciendo el registro, sin haberlo manifestado en el formato antes mencionado.</w:t>
            </w:r>
          </w:p>
        </w:tc>
        <w:tc>
          <w:tcPr>
            <w:tcW w:w="3163" w:type="dxa"/>
          </w:tcPr>
          <w:p w:rsidR="00F71160" w:rsidRPr="00570F57" w:rsidRDefault="001C0914" w:rsidP="001C0914">
            <w:pPr>
              <w:jc w:val="both"/>
              <w:rPr>
                <w:rFonts w:ascii="Arial Narrow" w:hAnsi="Arial Narrow" w:cs="Arial"/>
                <w:color w:val="000000" w:themeColor="text1"/>
                <w:lang w:val="es-MX"/>
              </w:rPr>
            </w:pPr>
            <w:r w:rsidRPr="00570F57">
              <w:rPr>
                <w:rFonts w:ascii="Arial Narrow" w:hAnsi="Arial Narrow" w:cs="Arial"/>
                <w:color w:val="000000" w:themeColor="text1"/>
                <w:lang w:val="es-MX"/>
              </w:rPr>
              <w:t>Ya presentada la justificación correspondiente se proporci</w:t>
            </w:r>
            <w:r w:rsidR="00DA57A0" w:rsidRPr="00570F57">
              <w:rPr>
                <w:rFonts w:ascii="Arial Narrow" w:hAnsi="Arial Narrow" w:cs="Arial"/>
                <w:color w:val="000000" w:themeColor="text1"/>
                <w:lang w:val="es-MX"/>
              </w:rPr>
              <w:t xml:space="preserve">ona en el </w:t>
            </w:r>
            <w:r w:rsidR="00DA57A0" w:rsidRPr="00570F57">
              <w:rPr>
                <w:rFonts w:ascii="Arial Narrow" w:hAnsi="Arial Narrow" w:cs="Arial"/>
                <w:b/>
                <w:color w:val="000000" w:themeColor="text1"/>
                <w:lang w:val="es-MX"/>
              </w:rPr>
              <w:t>anexo # 5</w:t>
            </w:r>
            <w:r w:rsidR="00DA57A0" w:rsidRPr="00570F57">
              <w:rPr>
                <w:rFonts w:ascii="Arial Narrow" w:hAnsi="Arial Narrow" w:cs="Arial"/>
                <w:color w:val="000000" w:themeColor="text1"/>
                <w:lang w:val="es-MX"/>
              </w:rPr>
              <w:t xml:space="preserve"> </w:t>
            </w:r>
            <w:r w:rsidRPr="00570F57">
              <w:rPr>
                <w:rFonts w:ascii="Arial Narrow" w:hAnsi="Arial Narrow" w:cs="Arial"/>
                <w:color w:val="000000" w:themeColor="text1"/>
                <w:lang w:val="es-MX"/>
              </w:rPr>
              <w:t xml:space="preserve"> la comprobación de que se realizaron los ajustes correspondientes.</w:t>
            </w:r>
          </w:p>
          <w:p w:rsidR="001C0914" w:rsidRPr="00570F57" w:rsidRDefault="001C0914" w:rsidP="001C0914">
            <w:pPr>
              <w:jc w:val="both"/>
              <w:rPr>
                <w:rFonts w:ascii="Arial Narrow" w:hAnsi="Arial Narrow" w:cs="Arial"/>
                <w:color w:val="000000" w:themeColor="text1"/>
                <w:lang w:val="es-MX"/>
              </w:rPr>
            </w:pPr>
            <w:r w:rsidRPr="00570F57">
              <w:rPr>
                <w:rFonts w:ascii="Arial Narrow" w:hAnsi="Arial Narrow" w:cs="Arial"/>
                <w:color w:val="000000" w:themeColor="text1"/>
                <w:lang w:val="es-MX"/>
              </w:rPr>
              <w:t>Además de que se incluye oficio enviado  a la auxiliar contable Cecilia Valdez López, con el fin de prevenir este tipo de observaciones.</w:t>
            </w:r>
          </w:p>
        </w:tc>
      </w:tr>
    </w:tbl>
    <w:p w:rsidR="003E3B94" w:rsidRPr="00570F57" w:rsidRDefault="003E3B94">
      <w:pPr>
        <w:ind w:left="1276" w:right="-73"/>
        <w:rPr>
          <w:rFonts w:ascii="Century Gothic" w:hAnsi="Century Gothic" w:cs="Century Gothic"/>
          <w:color w:val="000000" w:themeColor="text1"/>
          <w:sz w:val="14"/>
          <w:szCs w:val="14"/>
          <w:lang w:val="es-ES_tradnl"/>
        </w:rPr>
      </w:pPr>
    </w:p>
    <w:p w:rsidR="00F71160" w:rsidRPr="00570F57" w:rsidRDefault="00F7116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532780" w:rsidRPr="00570F57" w:rsidRDefault="00532780">
      <w:pPr>
        <w:ind w:left="1276" w:right="-73"/>
        <w:rPr>
          <w:rFonts w:ascii="Century Gothic" w:hAnsi="Century Gothic" w:cs="Century Gothic"/>
          <w:color w:val="000000" w:themeColor="text1"/>
          <w:sz w:val="14"/>
          <w:szCs w:val="14"/>
          <w:lang w:val="es-ES_tradnl"/>
        </w:rPr>
      </w:pPr>
    </w:p>
    <w:p w:rsidR="00F71160" w:rsidRPr="00570F57" w:rsidRDefault="00E66203" w:rsidP="00E66203">
      <w:pPr>
        <w:pStyle w:val="NormalArial"/>
        <w:tabs>
          <w:tab w:val="clear" w:pos="360"/>
        </w:tabs>
        <w:ind w:left="0" w:firstLine="0"/>
        <w:rPr>
          <w:rFonts w:ascii="Arial Narrow" w:hAnsi="Arial Narrow"/>
          <w:b/>
          <w:color w:val="000000" w:themeColor="text1"/>
        </w:rPr>
      </w:pPr>
      <w:r w:rsidRPr="00570F57">
        <w:rPr>
          <w:rFonts w:ascii="Arial Narrow" w:hAnsi="Arial Narrow"/>
          <w:b/>
          <w:color w:val="000000" w:themeColor="text1"/>
        </w:rPr>
        <w:t xml:space="preserve">18.- </w:t>
      </w:r>
      <w:r w:rsidR="00F71160" w:rsidRPr="00570F57">
        <w:rPr>
          <w:rFonts w:ascii="Arial Narrow" w:hAnsi="Arial Narrow"/>
          <w:b/>
          <w:color w:val="000000" w:themeColor="text1"/>
        </w:rPr>
        <w:t>En el formato EVTOP-03 denominado “Avance Programático de Organismos y Entidades de la Administración Pública” de los informes relativos al Primer y Cuarto Trimestres de 2010, se presentaron datos distintos en cuanto a “Metas Original Anual”, respecto de la siguiente meta:</w:t>
      </w:r>
    </w:p>
    <w:p w:rsidR="00F71160" w:rsidRPr="00570F57" w:rsidRDefault="00F71160" w:rsidP="00F71160">
      <w:pPr>
        <w:jc w:val="both"/>
        <w:rPr>
          <w:rFonts w:ascii="Arial Narrow" w:hAnsi="Arial Narrow"/>
          <w:color w:val="000000" w:themeColor="text1"/>
          <w:sz w:val="20"/>
          <w:szCs w:val="20"/>
          <w:lang w:val="es-MX"/>
        </w:rPr>
      </w:pPr>
    </w:p>
    <w:tbl>
      <w:tblPr>
        <w:tblW w:w="9632" w:type="dxa"/>
        <w:jc w:val="center"/>
        <w:tblCellMar>
          <w:left w:w="70" w:type="dxa"/>
          <w:right w:w="70" w:type="dxa"/>
        </w:tblCellMar>
        <w:tblLook w:val="0000"/>
      </w:tblPr>
      <w:tblGrid>
        <w:gridCol w:w="361"/>
        <w:gridCol w:w="249"/>
        <w:gridCol w:w="480"/>
        <w:gridCol w:w="506"/>
        <w:gridCol w:w="664"/>
        <w:gridCol w:w="344"/>
        <w:gridCol w:w="689"/>
        <w:gridCol w:w="1796"/>
        <w:gridCol w:w="1070"/>
        <w:gridCol w:w="1223"/>
        <w:gridCol w:w="1354"/>
        <w:gridCol w:w="896"/>
      </w:tblGrid>
      <w:tr w:rsidR="00F71160" w:rsidRPr="00570F57" w:rsidTr="008332EE">
        <w:trPr>
          <w:trHeight w:val="253"/>
          <w:jc w:val="center"/>
        </w:trPr>
        <w:tc>
          <w:tcPr>
            <w:tcW w:w="32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Clave</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Descripción</w:t>
            </w:r>
            <w:proofErr w:type="spellEnd"/>
            <w:r w:rsidRPr="00570F57">
              <w:rPr>
                <w:rFonts w:ascii="Arial Narrow" w:hAnsi="Arial Narrow" w:cs="Arial"/>
                <w:b/>
                <w:bCs/>
                <w:color w:val="000000" w:themeColor="text1"/>
                <w:sz w:val="16"/>
                <w:szCs w:val="16"/>
              </w:rPr>
              <w:t xml:space="preserve"> de Meta</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Unidad</w:t>
            </w:r>
            <w:proofErr w:type="spellEnd"/>
            <w:r w:rsidRPr="00570F57">
              <w:rPr>
                <w:rFonts w:ascii="Arial Narrow" w:hAnsi="Arial Narrow" w:cs="Arial"/>
                <w:b/>
                <w:bCs/>
                <w:color w:val="000000" w:themeColor="text1"/>
                <w:sz w:val="16"/>
                <w:szCs w:val="16"/>
              </w:rPr>
              <w:t xml:space="preserve"> de </w:t>
            </w:r>
            <w:proofErr w:type="spellStart"/>
            <w:r w:rsidRPr="00570F57">
              <w:rPr>
                <w:rFonts w:ascii="Arial Narrow" w:hAnsi="Arial Narrow" w:cs="Arial"/>
                <w:b/>
                <w:bCs/>
                <w:color w:val="000000" w:themeColor="text1"/>
                <w:sz w:val="16"/>
                <w:szCs w:val="16"/>
              </w:rPr>
              <w:t>Medida</w:t>
            </w:r>
            <w:proofErr w:type="spellEnd"/>
          </w:p>
        </w:tc>
        <w:tc>
          <w:tcPr>
            <w:tcW w:w="2577" w:type="dxa"/>
            <w:gridSpan w:val="2"/>
            <w:tcBorders>
              <w:top w:val="single" w:sz="4" w:space="0" w:color="auto"/>
              <w:left w:val="nil"/>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lang w:val="es-MX"/>
              </w:rPr>
            </w:pPr>
            <w:r w:rsidRPr="00570F57">
              <w:rPr>
                <w:rFonts w:ascii="Arial Narrow" w:hAnsi="Arial Narrow" w:cs="Arial"/>
                <w:b/>
                <w:bCs/>
                <w:color w:val="000000" w:themeColor="text1"/>
                <w:sz w:val="16"/>
                <w:szCs w:val="16"/>
                <w:lang w:val="es-MX"/>
              </w:rPr>
              <w:t xml:space="preserve">Metas Original Anual </w:t>
            </w:r>
          </w:p>
          <w:p w:rsidR="00F71160" w:rsidRPr="00570F57" w:rsidRDefault="00F71160" w:rsidP="00BC2B4C">
            <w:pPr>
              <w:jc w:val="center"/>
              <w:rPr>
                <w:rFonts w:ascii="Arial Narrow" w:hAnsi="Arial Narrow" w:cs="Arial"/>
                <w:b/>
                <w:bCs/>
                <w:color w:val="000000" w:themeColor="text1"/>
                <w:sz w:val="16"/>
                <w:szCs w:val="16"/>
                <w:lang w:val="es-MX"/>
              </w:rPr>
            </w:pPr>
            <w:r w:rsidRPr="00570F57">
              <w:rPr>
                <w:rFonts w:ascii="Arial Narrow" w:hAnsi="Arial Narrow" w:cs="Arial"/>
                <w:b/>
                <w:bCs/>
                <w:color w:val="000000" w:themeColor="text1"/>
                <w:sz w:val="16"/>
                <w:szCs w:val="16"/>
                <w:lang w:val="es-MX"/>
              </w:rPr>
              <w:t>según formatos</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Diferencia</w:t>
            </w:r>
            <w:proofErr w:type="spellEnd"/>
          </w:p>
        </w:tc>
      </w:tr>
      <w:tr w:rsidR="00F71160" w:rsidRPr="00BA748E" w:rsidTr="008332EE">
        <w:trPr>
          <w:trHeight w:val="609"/>
          <w:jc w:val="center"/>
        </w:trPr>
        <w:tc>
          <w:tcPr>
            <w:tcW w:w="361"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UR</w:t>
            </w:r>
          </w:p>
        </w:tc>
        <w:tc>
          <w:tcPr>
            <w:tcW w:w="249"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E</w:t>
            </w:r>
          </w:p>
        </w:tc>
        <w:tc>
          <w:tcPr>
            <w:tcW w:w="48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EST</w:t>
            </w:r>
          </w:p>
        </w:tc>
        <w:tc>
          <w:tcPr>
            <w:tcW w:w="506"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FUN</w:t>
            </w:r>
          </w:p>
        </w:tc>
        <w:tc>
          <w:tcPr>
            <w:tcW w:w="664"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SUBF</w:t>
            </w:r>
          </w:p>
        </w:tc>
        <w:tc>
          <w:tcPr>
            <w:tcW w:w="344"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LA</w:t>
            </w:r>
          </w:p>
        </w:tc>
        <w:tc>
          <w:tcPr>
            <w:tcW w:w="689"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META</w:t>
            </w:r>
          </w:p>
        </w:tc>
        <w:tc>
          <w:tcPr>
            <w:tcW w:w="1796"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BC2B4C">
            <w:pPr>
              <w:rPr>
                <w:rFonts w:ascii="Arial Narrow" w:hAnsi="Arial Narrow" w:cs="Arial"/>
                <w:b/>
                <w:bCs/>
                <w:color w:val="000000" w:themeColor="text1"/>
                <w:sz w:val="16"/>
                <w:szCs w:val="16"/>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BC2B4C">
            <w:pPr>
              <w:rPr>
                <w:rFonts w:ascii="Arial Narrow" w:hAnsi="Arial Narrow" w:cs="Arial"/>
                <w:b/>
                <w:bCs/>
                <w:color w:val="000000" w:themeColor="text1"/>
                <w:sz w:val="16"/>
                <w:szCs w:val="16"/>
              </w:rPr>
            </w:pPr>
          </w:p>
        </w:tc>
        <w:tc>
          <w:tcPr>
            <w:tcW w:w="1223" w:type="dxa"/>
            <w:tcBorders>
              <w:top w:val="nil"/>
              <w:left w:val="nil"/>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lang w:val="es-MX"/>
              </w:rPr>
            </w:pPr>
            <w:r w:rsidRPr="00570F57">
              <w:rPr>
                <w:rFonts w:ascii="Arial Narrow" w:hAnsi="Arial Narrow" w:cs="Arial"/>
                <w:b/>
                <w:bCs/>
                <w:color w:val="000000" w:themeColor="text1"/>
                <w:sz w:val="16"/>
                <w:szCs w:val="16"/>
                <w:lang w:val="es-MX"/>
              </w:rPr>
              <w:t>EVTOP-03 Informe del</w:t>
            </w:r>
          </w:p>
          <w:p w:rsidR="00F71160" w:rsidRPr="00570F57" w:rsidRDefault="00F71160" w:rsidP="00BC2B4C">
            <w:pPr>
              <w:jc w:val="center"/>
              <w:rPr>
                <w:rFonts w:ascii="Arial Narrow" w:hAnsi="Arial Narrow" w:cs="Arial"/>
                <w:b/>
                <w:bCs/>
                <w:color w:val="000000" w:themeColor="text1"/>
                <w:sz w:val="16"/>
                <w:szCs w:val="16"/>
                <w:lang w:val="es-MX"/>
              </w:rPr>
            </w:pPr>
            <w:r w:rsidRPr="00570F57">
              <w:rPr>
                <w:rFonts w:ascii="Arial Narrow" w:hAnsi="Arial Narrow" w:cs="Arial"/>
                <w:b/>
                <w:bCs/>
                <w:color w:val="000000" w:themeColor="text1"/>
                <w:sz w:val="16"/>
                <w:szCs w:val="16"/>
                <w:lang w:val="es-MX"/>
              </w:rPr>
              <w:t>I Trimestre de 2010</w:t>
            </w:r>
          </w:p>
        </w:tc>
        <w:tc>
          <w:tcPr>
            <w:tcW w:w="1354" w:type="dxa"/>
            <w:tcBorders>
              <w:top w:val="nil"/>
              <w:left w:val="nil"/>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lang w:val="es-MX"/>
              </w:rPr>
            </w:pPr>
            <w:r w:rsidRPr="00570F57">
              <w:rPr>
                <w:rFonts w:ascii="Arial Narrow" w:hAnsi="Arial Narrow" w:cs="Arial"/>
                <w:b/>
                <w:bCs/>
                <w:color w:val="000000" w:themeColor="text1"/>
                <w:sz w:val="16"/>
                <w:szCs w:val="16"/>
                <w:lang w:val="es-MX"/>
              </w:rPr>
              <w:t>EVTOP-03 Informe del</w:t>
            </w:r>
          </w:p>
          <w:p w:rsidR="00F71160" w:rsidRPr="00570F57" w:rsidRDefault="00F71160" w:rsidP="00BC2B4C">
            <w:pPr>
              <w:jc w:val="center"/>
              <w:rPr>
                <w:rFonts w:ascii="Arial Narrow" w:hAnsi="Arial Narrow" w:cs="Arial"/>
                <w:b/>
                <w:bCs/>
                <w:color w:val="000000" w:themeColor="text1"/>
                <w:sz w:val="16"/>
                <w:szCs w:val="16"/>
                <w:lang w:val="es-MX"/>
              </w:rPr>
            </w:pPr>
            <w:r w:rsidRPr="00570F57">
              <w:rPr>
                <w:rFonts w:ascii="Arial Narrow" w:hAnsi="Arial Narrow" w:cs="Arial"/>
                <w:b/>
                <w:bCs/>
                <w:color w:val="000000" w:themeColor="text1"/>
                <w:sz w:val="16"/>
                <w:szCs w:val="16"/>
                <w:lang w:val="es-MX"/>
              </w:rPr>
              <w:t>IV Trimestre de 2010</w:t>
            </w:r>
          </w:p>
        </w:tc>
        <w:tc>
          <w:tcPr>
            <w:tcW w:w="896"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BC2B4C">
            <w:pPr>
              <w:rPr>
                <w:rFonts w:ascii="Arial Narrow" w:hAnsi="Arial Narrow" w:cs="Arial"/>
                <w:b/>
                <w:bCs/>
                <w:color w:val="000000" w:themeColor="text1"/>
                <w:sz w:val="16"/>
                <w:szCs w:val="16"/>
                <w:lang w:val="es-MX"/>
              </w:rPr>
            </w:pPr>
          </w:p>
        </w:tc>
      </w:tr>
      <w:tr w:rsidR="00F71160" w:rsidRPr="00570F57" w:rsidTr="008332EE">
        <w:trPr>
          <w:trHeight w:val="169"/>
          <w:jc w:val="center"/>
        </w:trPr>
        <w:tc>
          <w:tcPr>
            <w:tcW w:w="361" w:type="dxa"/>
            <w:tcBorders>
              <w:top w:val="nil"/>
              <w:left w:val="single" w:sz="4" w:space="0" w:color="auto"/>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03</w:t>
            </w:r>
          </w:p>
        </w:tc>
        <w:tc>
          <w:tcPr>
            <w:tcW w:w="249"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w:t>
            </w:r>
          </w:p>
        </w:tc>
        <w:tc>
          <w:tcPr>
            <w:tcW w:w="480"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w:t>
            </w:r>
          </w:p>
        </w:tc>
        <w:tc>
          <w:tcPr>
            <w:tcW w:w="506"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7</w:t>
            </w:r>
          </w:p>
        </w:tc>
        <w:tc>
          <w:tcPr>
            <w:tcW w:w="664"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03</w:t>
            </w:r>
          </w:p>
        </w:tc>
        <w:tc>
          <w:tcPr>
            <w:tcW w:w="344"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07</w:t>
            </w:r>
          </w:p>
        </w:tc>
        <w:tc>
          <w:tcPr>
            <w:tcW w:w="689"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02</w:t>
            </w:r>
          </w:p>
        </w:tc>
        <w:tc>
          <w:tcPr>
            <w:tcW w:w="1796" w:type="dxa"/>
            <w:tcBorders>
              <w:top w:val="nil"/>
              <w:left w:val="nil"/>
              <w:bottom w:val="single" w:sz="4" w:space="0" w:color="auto"/>
              <w:right w:val="single" w:sz="4" w:space="0" w:color="auto"/>
            </w:tcBorders>
            <w:shd w:val="clear" w:color="auto" w:fill="auto"/>
          </w:tcPr>
          <w:p w:rsidR="00F71160" w:rsidRPr="00570F57" w:rsidRDefault="00F71160" w:rsidP="00BC2B4C">
            <w:pPr>
              <w:jc w:val="both"/>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Atender a usuarios de los Centros Poder Joven.</w:t>
            </w:r>
          </w:p>
        </w:tc>
        <w:tc>
          <w:tcPr>
            <w:tcW w:w="1070" w:type="dxa"/>
            <w:tcBorders>
              <w:top w:val="nil"/>
              <w:left w:val="nil"/>
              <w:bottom w:val="single" w:sz="4" w:space="0" w:color="auto"/>
              <w:right w:val="single" w:sz="4" w:space="0" w:color="auto"/>
            </w:tcBorders>
            <w:shd w:val="clear" w:color="auto" w:fill="auto"/>
            <w:noWrap/>
          </w:tcPr>
          <w:p w:rsidR="00F71160" w:rsidRPr="00570F57" w:rsidRDefault="00F71160" w:rsidP="00BC2B4C">
            <w:pPr>
              <w:jc w:val="center"/>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Usuarios</w:t>
            </w:r>
            <w:proofErr w:type="spellEnd"/>
          </w:p>
        </w:tc>
        <w:tc>
          <w:tcPr>
            <w:tcW w:w="1223" w:type="dxa"/>
            <w:tcBorders>
              <w:top w:val="single" w:sz="4" w:space="0" w:color="auto"/>
              <w:left w:val="nil"/>
              <w:bottom w:val="single" w:sz="4" w:space="0" w:color="auto"/>
              <w:right w:val="single" w:sz="4" w:space="0" w:color="auto"/>
            </w:tcBorders>
            <w:shd w:val="clear" w:color="auto" w:fill="auto"/>
            <w:noWrap/>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2,400</w:t>
            </w:r>
          </w:p>
        </w:tc>
        <w:tc>
          <w:tcPr>
            <w:tcW w:w="1354" w:type="dxa"/>
            <w:tcBorders>
              <w:top w:val="single" w:sz="4" w:space="0" w:color="auto"/>
              <w:left w:val="nil"/>
              <w:bottom w:val="single" w:sz="4" w:space="0" w:color="auto"/>
              <w:right w:val="single" w:sz="4" w:space="0" w:color="auto"/>
            </w:tcBorders>
            <w:shd w:val="clear" w:color="auto" w:fill="auto"/>
            <w:noWrap/>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1,600</w:t>
            </w:r>
          </w:p>
        </w:tc>
        <w:tc>
          <w:tcPr>
            <w:tcW w:w="896" w:type="dxa"/>
            <w:tcBorders>
              <w:top w:val="nil"/>
              <w:left w:val="nil"/>
              <w:bottom w:val="single" w:sz="4" w:space="0" w:color="auto"/>
              <w:right w:val="single" w:sz="4" w:space="0" w:color="auto"/>
            </w:tcBorders>
            <w:shd w:val="clear" w:color="auto" w:fill="auto"/>
            <w:noWrap/>
          </w:tcPr>
          <w:p w:rsidR="00F71160" w:rsidRPr="00570F57" w:rsidRDefault="00F71160" w:rsidP="00BC2B4C">
            <w:pPr>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800</w:t>
            </w:r>
          </w:p>
        </w:tc>
      </w:tr>
    </w:tbl>
    <w:p w:rsidR="00F71160" w:rsidRPr="00570F57" w:rsidRDefault="00F71160" w:rsidP="00F71160">
      <w:pPr>
        <w:jc w:val="both"/>
        <w:rPr>
          <w:rFonts w:ascii="Arial Narrow" w:hAnsi="Arial Narrow"/>
          <w:color w:val="000000" w:themeColor="text1"/>
          <w:u w:val="single"/>
        </w:rPr>
      </w:pPr>
    </w:p>
    <w:p w:rsidR="00F71160" w:rsidRPr="00570F57" w:rsidRDefault="00F71160">
      <w:pPr>
        <w:ind w:left="1276" w:right="-73"/>
        <w:rPr>
          <w:rFonts w:ascii="Century Gothic" w:hAnsi="Century Gothic" w:cs="Century Gothic"/>
          <w:color w:val="000000" w:themeColor="text1"/>
          <w:sz w:val="14"/>
          <w:szCs w:val="14"/>
          <w:lang w:val="es-ES_tradnl"/>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4"/>
        <w:gridCol w:w="2900"/>
        <w:gridCol w:w="3163"/>
      </w:tblGrid>
      <w:tr w:rsidR="00F71160" w:rsidRPr="00570F57" w:rsidTr="00BC2B4C">
        <w:trPr>
          <w:trHeight w:val="572"/>
        </w:trPr>
        <w:tc>
          <w:tcPr>
            <w:tcW w:w="675" w:type="dxa"/>
            <w:shd w:val="clear" w:color="auto" w:fill="CCCCCC"/>
            <w:vAlign w:val="center"/>
          </w:tcPr>
          <w:p w:rsidR="00F71160" w:rsidRPr="00570F57" w:rsidRDefault="00F71160"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No.</w:t>
            </w:r>
          </w:p>
        </w:tc>
        <w:tc>
          <w:tcPr>
            <w:tcW w:w="3314" w:type="dxa"/>
            <w:shd w:val="clear" w:color="auto" w:fill="CCCCCC"/>
            <w:vAlign w:val="center"/>
          </w:tcPr>
          <w:p w:rsidR="00F71160" w:rsidRPr="00570F57" w:rsidRDefault="00F71160" w:rsidP="00BC2B4C">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2900" w:type="dxa"/>
            <w:shd w:val="clear" w:color="auto" w:fill="CCCCCC"/>
          </w:tcPr>
          <w:p w:rsidR="00F71160" w:rsidRPr="00570F57" w:rsidRDefault="00F71160" w:rsidP="00BC2B4C">
            <w:pPr>
              <w:jc w:val="center"/>
              <w:rPr>
                <w:rFonts w:ascii="Arial" w:hAnsi="Arial" w:cs="Arial"/>
                <w:b/>
                <w:color w:val="000000" w:themeColor="text1"/>
                <w:sz w:val="20"/>
                <w:szCs w:val="20"/>
                <w:lang w:val="es-MX"/>
              </w:rPr>
            </w:pPr>
          </w:p>
          <w:p w:rsidR="00F71160" w:rsidRPr="00570F57" w:rsidRDefault="00F71160"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3163" w:type="dxa"/>
            <w:shd w:val="clear" w:color="auto" w:fill="CCCCCC"/>
            <w:vAlign w:val="center"/>
          </w:tcPr>
          <w:p w:rsidR="00F71160" w:rsidRPr="00570F57" w:rsidRDefault="00F71160" w:rsidP="00BC2B4C">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F71160" w:rsidRPr="00BA748E" w:rsidTr="00BC2B4C">
        <w:trPr>
          <w:trHeight w:val="182"/>
        </w:trPr>
        <w:tc>
          <w:tcPr>
            <w:tcW w:w="675" w:type="dxa"/>
            <w:vAlign w:val="center"/>
          </w:tcPr>
          <w:p w:rsidR="00F71160" w:rsidRPr="00570F57" w:rsidRDefault="00F71160" w:rsidP="00BC2B4C">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6</w:t>
            </w:r>
          </w:p>
        </w:tc>
        <w:tc>
          <w:tcPr>
            <w:tcW w:w="3314" w:type="dxa"/>
          </w:tcPr>
          <w:p w:rsidR="00F71160" w:rsidRPr="00570F57" w:rsidRDefault="00E66203" w:rsidP="00BC2B4C">
            <w:pPr>
              <w:spacing w:after="0"/>
              <w:ind w:left="33"/>
              <w:jc w:val="both"/>
              <w:rPr>
                <w:rFonts w:ascii="Arial Narrow" w:hAnsi="Arial Narrow" w:cs="Arial"/>
                <w:color w:val="000000" w:themeColor="text1"/>
                <w:lang w:val="es-MX"/>
              </w:rPr>
            </w:pPr>
            <w:r w:rsidRPr="00570F57">
              <w:rPr>
                <w:rFonts w:ascii="Arial Narrow" w:hAnsi="Arial Narrow"/>
                <w:color w:val="000000" w:themeColor="text1"/>
                <w:lang w:val="es-MX"/>
              </w:rPr>
              <w:t xml:space="preserve">18.- </w:t>
            </w:r>
            <w:r w:rsidR="00F71160" w:rsidRPr="00570F57">
              <w:rPr>
                <w:rFonts w:ascii="Arial Narrow" w:hAnsi="Arial Narrow"/>
                <w:color w:val="000000" w:themeColor="text1"/>
                <w:lang w:val="es-MX"/>
              </w:rPr>
              <w:t>En el formato EVTOP-03 denominado “Avance Programático de Organismos y Entidades de la Administración Pública” de los informes relativos al Primer y Cuarto Trimestres de 2010, se presentaron datos distintos en cuanto a “Metas Original Anual”,</w:t>
            </w:r>
          </w:p>
        </w:tc>
        <w:tc>
          <w:tcPr>
            <w:tcW w:w="2900" w:type="dxa"/>
          </w:tcPr>
          <w:p w:rsidR="00F71160" w:rsidRPr="00570F57" w:rsidRDefault="008332EE" w:rsidP="00BC2B4C">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Efectivamente al momento de ver el Programa Operativo Anual a simple vista se ve la diferencia entre las metas original anual y las realizadas. Cabe hacer mención que al momento de analizar la información que se muestra en dicho POA, nos percatamos que existe un error aritmético el cual se atribuye al momento de vaciar la información al formato digital, este se debió tomar para la sumatoria un numero de casillas extendidas dando como resultado una sumatoria mayor a la correspondiente. </w:t>
            </w:r>
          </w:p>
        </w:tc>
        <w:tc>
          <w:tcPr>
            <w:tcW w:w="3163" w:type="dxa"/>
          </w:tcPr>
          <w:p w:rsidR="00F71160" w:rsidRPr="00570F57" w:rsidRDefault="008332EE"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Si tomamos en cuenta el total de metas programadas en el trimestre estas suman 1,600 usuarios, las cuales si se realizaron en sus respectivos trimestres, pero tomando en cuenta la cantidad errónea de 2,400 usuarios, aquí es donde existe la diferencia, la cual se puede tomar errónea. </w:t>
            </w:r>
          </w:p>
          <w:p w:rsidR="008332EE" w:rsidRPr="00570F57" w:rsidRDefault="00805BD3"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Se reviso el formato digital del EVTOP 03 y se hicieron las correcciones correspondientes para evitar este tipo de observaciones. En el </w:t>
            </w:r>
            <w:r w:rsidRPr="00570F57">
              <w:rPr>
                <w:rFonts w:ascii="Arial Narrow" w:hAnsi="Arial Narrow" w:cs="Arial"/>
                <w:b/>
                <w:color w:val="000000" w:themeColor="text1"/>
                <w:lang w:val="es-MX"/>
              </w:rPr>
              <w:t>anexo # 6</w:t>
            </w:r>
            <w:r w:rsidRPr="00570F57">
              <w:rPr>
                <w:rFonts w:ascii="Arial Narrow" w:hAnsi="Arial Narrow" w:cs="Arial"/>
                <w:color w:val="000000" w:themeColor="text1"/>
                <w:lang w:val="es-MX"/>
              </w:rPr>
              <w:t xml:space="preserve"> se muestra copia del POA donde se muestran las metas original anual y las metas programadas, con el fin de ver el error aritmético. Así mismo se adjunta copia del oficio enviado al Director de Estudios y Proyectos, con el fin de evitar este tipo de observaciones. </w:t>
            </w:r>
          </w:p>
        </w:tc>
      </w:tr>
    </w:tbl>
    <w:p w:rsidR="003E3B94" w:rsidRPr="00570F57" w:rsidRDefault="003E3B94">
      <w:pPr>
        <w:ind w:left="1276" w:right="-73"/>
        <w:rPr>
          <w:rFonts w:ascii="Century Gothic" w:hAnsi="Century Gothic" w:cs="Century Gothic"/>
          <w:color w:val="000000" w:themeColor="text1"/>
          <w:sz w:val="14"/>
          <w:szCs w:val="14"/>
          <w:lang w:val="es-ES_tradnl"/>
        </w:rPr>
      </w:pPr>
    </w:p>
    <w:p w:rsidR="00730B27" w:rsidRPr="00570F57" w:rsidRDefault="00730B27" w:rsidP="00730B27">
      <w:pPr>
        <w:pStyle w:val="NormalArial"/>
        <w:tabs>
          <w:tab w:val="clear" w:pos="360"/>
        </w:tabs>
        <w:ind w:left="357" w:firstLine="0"/>
        <w:rPr>
          <w:rFonts w:ascii="Arial Narrow" w:hAnsi="Arial Narrow"/>
          <w:b/>
          <w:color w:val="000000" w:themeColor="text1"/>
        </w:rPr>
      </w:pPr>
    </w:p>
    <w:p w:rsidR="00730B27" w:rsidRPr="00570F57" w:rsidRDefault="00730B27" w:rsidP="00730B27">
      <w:pPr>
        <w:pStyle w:val="NormalArial"/>
        <w:tabs>
          <w:tab w:val="clear" w:pos="360"/>
        </w:tabs>
        <w:ind w:left="357" w:firstLine="0"/>
        <w:rPr>
          <w:rFonts w:ascii="Arial Narrow" w:hAnsi="Arial Narrow"/>
          <w:b/>
          <w:color w:val="000000" w:themeColor="text1"/>
        </w:rPr>
      </w:pPr>
    </w:p>
    <w:p w:rsidR="00730B27" w:rsidRPr="00570F57" w:rsidRDefault="00730B27" w:rsidP="00730B27">
      <w:pPr>
        <w:pStyle w:val="NormalArial"/>
        <w:tabs>
          <w:tab w:val="clear" w:pos="360"/>
        </w:tabs>
        <w:ind w:left="357" w:firstLine="0"/>
        <w:rPr>
          <w:rFonts w:ascii="Arial Narrow" w:hAnsi="Arial Narrow"/>
          <w:b/>
          <w:color w:val="000000" w:themeColor="text1"/>
        </w:rPr>
      </w:pPr>
    </w:p>
    <w:p w:rsidR="00730B27" w:rsidRPr="00570F57" w:rsidRDefault="00730B27" w:rsidP="00730B27">
      <w:pPr>
        <w:pStyle w:val="NormalArial"/>
        <w:tabs>
          <w:tab w:val="clear" w:pos="360"/>
        </w:tabs>
        <w:ind w:left="357" w:firstLine="0"/>
        <w:rPr>
          <w:rFonts w:ascii="Arial Narrow" w:hAnsi="Arial Narrow"/>
          <w:b/>
          <w:color w:val="000000" w:themeColor="text1"/>
        </w:rPr>
      </w:pPr>
    </w:p>
    <w:p w:rsidR="00730B27" w:rsidRPr="00570F57" w:rsidRDefault="00730B27" w:rsidP="00730B27">
      <w:pPr>
        <w:pStyle w:val="NormalArial"/>
        <w:tabs>
          <w:tab w:val="clear" w:pos="360"/>
        </w:tabs>
        <w:ind w:left="357" w:firstLine="0"/>
        <w:rPr>
          <w:rFonts w:ascii="Arial Narrow" w:hAnsi="Arial Narrow"/>
          <w:b/>
          <w:color w:val="000000" w:themeColor="text1"/>
        </w:rPr>
      </w:pPr>
    </w:p>
    <w:p w:rsidR="00F71160" w:rsidRPr="00570F57" w:rsidRDefault="006F50B0" w:rsidP="006F50B0">
      <w:pPr>
        <w:pStyle w:val="NormalArial"/>
        <w:tabs>
          <w:tab w:val="clear" w:pos="360"/>
        </w:tabs>
        <w:ind w:left="0" w:firstLine="0"/>
        <w:rPr>
          <w:rFonts w:ascii="Arial Narrow" w:hAnsi="Arial Narrow"/>
          <w:b/>
          <w:color w:val="000000" w:themeColor="text1"/>
        </w:rPr>
      </w:pPr>
      <w:r w:rsidRPr="00570F57">
        <w:rPr>
          <w:rFonts w:ascii="Arial Narrow" w:hAnsi="Arial Narrow"/>
          <w:b/>
          <w:color w:val="000000" w:themeColor="text1"/>
        </w:rPr>
        <w:lastRenderedPageBreak/>
        <w:t xml:space="preserve">19.- </w:t>
      </w:r>
      <w:r w:rsidR="00F71160" w:rsidRPr="00570F57">
        <w:rPr>
          <w:rFonts w:ascii="Arial Narrow" w:hAnsi="Arial Narrow"/>
          <w:b/>
          <w:color w:val="000000" w:themeColor="text1"/>
        </w:rPr>
        <w:t xml:space="preserve">En el informe de la Cuenta Pública del ejercicio de 2010, el sujeto fiscalizado informa de la existencia de ciertas partidas cuyos presupuestos autorizados originalmente no fueron ejercidos en su totalidad, presentando suficiencia presupuestal sin proporcionarnos justificación alguna que explique este hecho, según consta al analizar el formato CPO-10-02 denominado “Analítico de Recursos Ejercidos por Partida Presupuestal”, como se describe a continuación: </w:t>
      </w:r>
    </w:p>
    <w:tbl>
      <w:tblPr>
        <w:tblpPr w:leftFromText="141" w:rightFromText="141" w:vertAnchor="text" w:tblpX="982" w:tblpY="1"/>
        <w:tblOverlap w:val="never"/>
        <w:tblW w:w="6880" w:type="dxa"/>
        <w:tblCellMar>
          <w:left w:w="70" w:type="dxa"/>
          <w:right w:w="70" w:type="dxa"/>
        </w:tblCellMar>
        <w:tblLook w:val="0000"/>
      </w:tblPr>
      <w:tblGrid>
        <w:gridCol w:w="720"/>
        <w:gridCol w:w="3240"/>
        <w:gridCol w:w="980"/>
        <w:gridCol w:w="940"/>
        <w:gridCol w:w="1000"/>
      </w:tblGrid>
      <w:tr w:rsidR="00F71160" w:rsidRPr="00570F57" w:rsidTr="00DA57A0">
        <w:trPr>
          <w:trHeight w:val="276"/>
          <w:tblHead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DA57A0">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Partida</w:t>
            </w:r>
            <w:proofErr w:type="spellEnd"/>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1160" w:rsidRPr="00570F57" w:rsidRDefault="00F71160" w:rsidP="00DA57A0">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Concepto</w:t>
            </w:r>
            <w:proofErr w:type="spellEnd"/>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F71160" w:rsidRPr="00570F57" w:rsidRDefault="00F71160" w:rsidP="00DA57A0">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Presupuesto</w:t>
            </w:r>
            <w:proofErr w:type="spellEnd"/>
          </w:p>
        </w:tc>
        <w:tc>
          <w:tcPr>
            <w:tcW w:w="1000" w:type="dxa"/>
            <w:vMerge w:val="restart"/>
            <w:tcBorders>
              <w:top w:val="single" w:sz="4" w:space="0" w:color="auto"/>
              <w:left w:val="nil"/>
              <w:right w:val="single" w:sz="4" w:space="0" w:color="auto"/>
            </w:tcBorders>
            <w:shd w:val="clear" w:color="auto" w:fill="auto"/>
            <w:noWrap/>
            <w:vAlign w:val="bottom"/>
          </w:tcPr>
          <w:p w:rsidR="00F71160" w:rsidRPr="00570F57" w:rsidRDefault="00F71160" w:rsidP="00DA57A0">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Variación</w:t>
            </w:r>
            <w:proofErr w:type="spellEnd"/>
          </w:p>
          <w:p w:rsidR="00F71160" w:rsidRPr="00570F57" w:rsidRDefault="00F71160" w:rsidP="00DA57A0">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Ejercido</w:t>
            </w:r>
            <w:proofErr w:type="spellEnd"/>
            <w:r w:rsidRPr="00570F57">
              <w:rPr>
                <w:rFonts w:ascii="Arial Narrow" w:hAnsi="Arial Narrow" w:cs="Arial"/>
                <w:b/>
                <w:bCs/>
                <w:color w:val="000000" w:themeColor="text1"/>
                <w:sz w:val="16"/>
                <w:szCs w:val="16"/>
              </w:rPr>
              <w:t xml:space="preserve"> vs. Original</w:t>
            </w:r>
          </w:p>
        </w:tc>
      </w:tr>
      <w:tr w:rsidR="00F71160" w:rsidRPr="00570F57" w:rsidTr="00DA57A0">
        <w:trPr>
          <w:trHeight w:val="408"/>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DA57A0">
            <w:pPr>
              <w:rPr>
                <w:rFonts w:ascii="Arial Narrow" w:hAnsi="Arial Narrow" w:cs="Arial"/>
                <w:b/>
                <w:bCs/>
                <w:color w:val="000000" w:themeColor="text1"/>
                <w:sz w:val="16"/>
                <w:szCs w:val="16"/>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71160" w:rsidRPr="00570F57" w:rsidRDefault="00F71160" w:rsidP="00DA57A0">
            <w:pPr>
              <w:rPr>
                <w:rFonts w:ascii="Arial Narrow" w:hAnsi="Arial Narrow" w:cs="Arial"/>
                <w:b/>
                <w:bCs/>
                <w:color w:val="000000" w:themeColor="text1"/>
                <w:sz w:val="16"/>
                <w:szCs w:val="16"/>
              </w:rPr>
            </w:pPr>
          </w:p>
        </w:tc>
        <w:tc>
          <w:tcPr>
            <w:tcW w:w="980" w:type="dxa"/>
            <w:tcBorders>
              <w:top w:val="nil"/>
              <w:left w:val="nil"/>
              <w:bottom w:val="single" w:sz="4" w:space="0" w:color="auto"/>
              <w:right w:val="single" w:sz="4" w:space="0" w:color="auto"/>
            </w:tcBorders>
            <w:shd w:val="clear" w:color="auto" w:fill="auto"/>
            <w:vAlign w:val="bottom"/>
          </w:tcPr>
          <w:p w:rsidR="00F71160" w:rsidRPr="00570F57" w:rsidRDefault="00F71160" w:rsidP="00DA57A0">
            <w:pPr>
              <w:jc w:val="center"/>
              <w:rPr>
                <w:rFonts w:ascii="Arial Narrow" w:hAnsi="Arial Narrow" w:cs="Arial"/>
                <w:b/>
                <w:bCs/>
                <w:color w:val="000000" w:themeColor="text1"/>
                <w:sz w:val="16"/>
                <w:szCs w:val="16"/>
              </w:rPr>
            </w:pPr>
            <w:r w:rsidRPr="00570F57">
              <w:rPr>
                <w:rFonts w:ascii="Arial Narrow" w:hAnsi="Arial Narrow" w:cs="Arial"/>
                <w:b/>
                <w:bCs/>
                <w:color w:val="000000" w:themeColor="text1"/>
                <w:sz w:val="16"/>
                <w:szCs w:val="16"/>
              </w:rPr>
              <w:t>Original</w:t>
            </w:r>
          </w:p>
        </w:tc>
        <w:tc>
          <w:tcPr>
            <w:tcW w:w="940" w:type="dxa"/>
            <w:tcBorders>
              <w:top w:val="nil"/>
              <w:left w:val="nil"/>
              <w:bottom w:val="single" w:sz="4" w:space="0" w:color="auto"/>
              <w:right w:val="single" w:sz="4" w:space="0" w:color="auto"/>
            </w:tcBorders>
            <w:shd w:val="clear" w:color="auto" w:fill="auto"/>
            <w:vAlign w:val="bottom"/>
          </w:tcPr>
          <w:p w:rsidR="00F71160" w:rsidRPr="00570F57" w:rsidRDefault="00F71160" w:rsidP="00DA57A0">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Ejercido</w:t>
            </w:r>
            <w:proofErr w:type="spellEnd"/>
          </w:p>
        </w:tc>
        <w:tc>
          <w:tcPr>
            <w:tcW w:w="1000" w:type="dxa"/>
            <w:vMerge/>
            <w:tcBorders>
              <w:left w:val="nil"/>
              <w:bottom w:val="single" w:sz="4" w:space="0" w:color="auto"/>
              <w:right w:val="single" w:sz="4" w:space="0" w:color="auto"/>
            </w:tcBorders>
            <w:shd w:val="clear" w:color="auto" w:fill="auto"/>
            <w:vAlign w:val="center"/>
          </w:tcPr>
          <w:p w:rsidR="00F71160" w:rsidRPr="00570F57" w:rsidRDefault="00F71160" w:rsidP="00DA57A0">
            <w:pPr>
              <w:jc w:val="center"/>
              <w:rPr>
                <w:rFonts w:ascii="Arial Narrow" w:hAnsi="Arial Narrow" w:cs="Arial"/>
                <w:b/>
                <w:bCs/>
                <w:color w:val="000000" w:themeColor="text1"/>
                <w:sz w:val="16"/>
                <w:szCs w:val="16"/>
              </w:rPr>
            </w:pP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1101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Sueldos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$5,310,122</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$2,026,027</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$-3,284,095</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Prima </w:t>
            </w:r>
            <w:proofErr w:type="spellStart"/>
            <w:r w:rsidRPr="00570F57">
              <w:rPr>
                <w:rFonts w:ascii="Arial Narrow" w:hAnsi="Arial Narrow" w:cs="Arial"/>
                <w:color w:val="000000" w:themeColor="text1"/>
                <w:sz w:val="16"/>
                <w:szCs w:val="16"/>
              </w:rPr>
              <w:t>Quinquenal</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158,996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56,937</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-102,059</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1306</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Prima </w:t>
            </w:r>
            <w:proofErr w:type="spellStart"/>
            <w:r w:rsidRPr="00570F57">
              <w:rPr>
                <w:rFonts w:ascii="Arial Narrow" w:hAnsi="Arial Narrow" w:cs="Arial"/>
                <w:color w:val="000000" w:themeColor="text1"/>
                <w:sz w:val="16"/>
                <w:szCs w:val="16"/>
              </w:rPr>
              <w:t>Vacacional</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304,229</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194,320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-109,909</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1307</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Gratificación de Fin de Año</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608,458</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382,869</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-225,589</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1310</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Estímulo</w:t>
            </w:r>
            <w:proofErr w:type="spellEnd"/>
            <w:r w:rsidRPr="00570F57">
              <w:rPr>
                <w:rFonts w:ascii="Arial Narrow" w:hAnsi="Arial Narrow" w:cs="Arial"/>
                <w:color w:val="000000" w:themeColor="text1"/>
                <w:sz w:val="16"/>
                <w:szCs w:val="16"/>
              </w:rPr>
              <w:t xml:space="preserve"> Personal de </w:t>
            </w:r>
            <w:proofErr w:type="spellStart"/>
            <w:r w:rsidRPr="00570F57">
              <w:rPr>
                <w:rFonts w:ascii="Arial Narrow" w:hAnsi="Arial Narrow" w:cs="Arial"/>
                <w:color w:val="000000" w:themeColor="text1"/>
                <w:sz w:val="16"/>
                <w:szCs w:val="16"/>
              </w:rPr>
              <w:t>Confianza</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785,560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-785,560</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1323</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Ajuste</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Calendario</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1324</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Compensación</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por</w:t>
            </w:r>
            <w:proofErr w:type="spellEnd"/>
            <w:r w:rsidRPr="00570F57">
              <w:rPr>
                <w:rFonts w:ascii="Arial Narrow" w:hAnsi="Arial Narrow" w:cs="Arial"/>
                <w:color w:val="000000" w:themeColor="text1"/>
                <w:sz w:val="16"/>
                <w:szCs w:val="16"/>
              </w:rPr>
              <w:t xml:space="preserve"> Bono </w:t>
            </w:r>
            <w:proofErr w:type="spellStart"/>
            <w:r w:rsidRPr="00570F57">
              <w:rPr>
                <w:rFonts w:ascii="Arial Narrow" w:hAnsi="Arial Narrow" w:cs="Arial"/>
                <w:color w:val="000000" w:themeColor="text1"/>
                <w:sz w:val="16"/>
                <w:szCs w:val="16"/>
              </w:rPr>
              <w:t>Navideño</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-76,057</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1327</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Bono de </w:t>
            </w:r>
            <w:proofErr w:type="spellStart"/>
            <w:r w:rsidRPr="00570F57">
              <w:rPr>
                <w:rFonts w:ascii="Arial Narrow" w:hAnsi="Arial Narrow" w:cs="Arial"/>
                <w:color w:val="000000" w:themeColor="text1"/>
                <w:sz w:val="16"/>
                <w:szCs w:val="16"/>
              </w:rPr>
              <w:t>Despensa</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126,360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-126,360</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1333</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Bono </w:t>
            </w:r>
            <w:proofErr w:type="spellStart"/>
            <w:r w:rsidRPr="00570F57">
              <w:rPr>
                <w:rFonts w:ascii="Arial Narrow" w:hAnsi="Arial Narrow" w:cs="Arial"/>
                <w:color w:val="000000" w:themeColor="text1"/>
                <w:sz w:val="16"/>
                <w:szCs w:val="16"/>
              </w:rPr>
              <w:t>por</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Puntualidad</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17,010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-17,010</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1344</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Apoyo para Desarrollo y Capacitación</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34,560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-34,560</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1348</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Ayuda para Servicio de Transporte</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44,280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-44,280</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Servicio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Médico</w:t>
            </w:r>
            <w:proofErr w:type="spellEnd"/>
            <w:r w:rsidRPr="00570F57">
              <w:rPr>
                <w:rFonts w:ascii="Arial Narrow" w:hAnsi="Arial Narrow" w:cs="Arial"/>
                <w:color w:val="000000" w:themeColor="text1"/>
                <w:sz w:val="16"/>
                <w:szCs w:val="16"/>
              </w:rPr>
              <w:t xml:space="preserve"> ISSSTESON</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724,555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540,583</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-183,972</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1402</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Cuota</w:t>
            </w:r>
            <w:proofErr w:type="spellEnd"/>
            <w:r w:rsidRPr="00570F57">
              <w:rPr>
                <w:rFonts w:ascii="Arial Narrow" w:hAnsi="Arial Narrow" w:cs="Arial"/>
                <w:color w:val="000000" w:themeColor="text1"/>
                <w:sz w:val="16"/>
                <w:szCs w:val="16"/>
              </w:rPr>
              <w:t xml:space="preserve"> al </w:t>
            </w:r>
            <w:proofErr w:type="spellStart"/>
            <w:r w:rsidRPr="00570F57">
              <w:rPr>
                <w:rFonts w:ascii="Arial Narrow" w:hAnsi="Arial Narrow" w:cs="Arial"/>
                <w:color w:val="000000" w:themeColor="text1"/>
                <w:sz w:val="16"/>
                <w:szCs w:val="16"/>
              </w:rPr>
              <w:t>Fovisssteson</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202,360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148,838</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-53,522</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1405</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Pago por Defunción Pensión y Jubilación</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895,370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639,301</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-256,069</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1406</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Asignación de Préstamos a Corto Plazo</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28,295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18,604</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-9,691</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1407</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Asignación</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Préstamo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Prendario</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28,295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18,604</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-9,691</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1408</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Otras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Prestaciones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Seguridad</w:t>
            </w:r>
            <w:proofErr w:type="spellEnd"/>
            <w:r w:rsidRPr="00570F57">
              <w:rPr>
                <w:rFonts w:ascii="Arial Narrow" w:hAnsi="Arial Narrow" w:cs="Arial"/>
                <w:color w:val="000000" w:themeColor="text1"/>
                <w:sz w:val="16"/>
                <w:szCs w:val="16"/>
              </w:rPr>
              <w:t xml:space="preserve"> Social</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94,145</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56,078</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-38,067</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1409</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Otras Cuotas de Seguros Colectivos</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284,856</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6,046</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-278,810</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2101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r w:rsidRPr="00570F57">
              <w:rPr>
                <w:rFonts w:ascii="Arial Narrow" w:hAnsi="Arial Narrow" w:cs="Arial"/>
                <w:color w:val="000000" w:themeColor="text1"/>
                <w:sz w:val="16"/>
                <w:szCs w:val="16"/>
              </w:rPr>
              <w:t xml:space="preserve">Material de </w:t>
            </w:r>
            <w:proofErr w:type="spellStart"/>
            <w:r w:rsidRPr="00570F57">
              <w:rPr>
                <w:rFonts w:ascii="Arial Narrow" w:hAnsi="Arial Narrow" w:cs="Arial"/>
                <w:color w:val="000000" w:themeColor="text1"/>
                <w:sz w:val="16"/>
                <w:szCs w:val="16"/>
              </w:rPr>
              <w:t>Oficina</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140,702</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-159,298</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2201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Alimentación</w:t>
            </w:r>
            <w:proofErr w:type="spellEnd"/>
            <w:r w:rsidRPr="00570F57">
              <w:rPr>
                <w:rFonts w:ascii="Arial Narrow" w:hAnsi="Arial Narrow" w:cs="Arial"/>
                <w:color w:val="000000" w:themeColor="text1"/>
                <w:sz w:val="16"/>
                <w:szCs w:val="16"/>
              </w:rPr>
              <w:t xml:space="preserve"> de Personas</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182,257</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-17,743</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2601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r w:rsidRPr="00570F57">
              <w:rPr>
                <w:rFonts w:ascii="Arial Narrow" w:hAnsi="Arial Narrow" w:cs="Arial"/>
                <w:color w:val="000000" w:themeColor="text1"/>
                <w:sz w:val="16"/>
                <w:szCs w:val="16"/>
              </w:rPr>
              <w:t>Combustibles</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308,408</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269,947</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-38,461</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2701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Vestuario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Uniformes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Blancos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16,000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11,341</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-4,659</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3101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Servicio</w:t>
            </w:r>
            <w:proofErr w:type="spellEnd"/>
            <w:r w:rsidRPr="00570F57">
              <w:rPr>
                <w:rFonts w:ascii="Arial Narrow" w:hAnsi="Arial Narrow" w:cs="Arial"/>
                <w:color w:val="000000" w:themeColor="text1"/>
                <w:sz w:val="16"/>
                <w:szCs w:val="16"/>
              </w:rPr>
              <w:t xml:space="preserve"> Postal</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14,708</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-5,292</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3104</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Servicio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Energía</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Eléctrica</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242,636</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-7,364</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3106</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Servicio</w:t>
            </w:r>
            <w:proofErr w:type="spellEnd"/>
            <w:r w:rsidRPr="00570F57">
              <w:rPr>
                <w:rFonts w:ascii="Arial Narrow" w:hAnsi="Arial Narrow" w:cs="Arial"/>
                <w:color w:val="000000" w:themeColor="text1"/>
                <w:sz w:val="16"/>
                <w:szCs w:val="16"/>
              </w:rPr>
              <w:t xml:space="preserve"> de Agua Potable</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45,324</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-24,676</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3201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Arrendamiento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Inmuebles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101,195</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-48,805</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3202</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Arrend</w:t>
            </w:r>
            <w:proofErr w:type="spellEnd"/>
            <w:r w:rsidRPr="00570F57">
              <w:rPr>
                <w:rFonts w:ascii="Arial Narrow" w:hAnsi="Arial Narrow" w:cs="Arial"/>
                <w:color w:val="000000" w:themeColor="text1"/>
                <w:sz w:val="16"/>
                <w:szCs w:val="16"/>
                <w:lang w:val="es-MX"/>
              </w:rPr>
              <w:t xml:space="preserve">. Mobiliario, </w:t>
            </w:r>
            <w:proofErr w:type="spellStart"/>
            <w:r w:rsidRPr="00570F57">
              <w:rPr>
                <w:rFonts w:ascii="Arial Narrow" w:hAnsi="Arial Narrow" w:cs="Arial"/>
                <w:color w:val="000000" w:themeColor="text1"/>
                <w:sz w:val="16"/>
                <w:szCs w:val="16"/>
                <w:lang w:val="es-MX"/>
              </w:rPr>
              <w:t>Maq</w:t>
            </w:r>
            <w:proofErr w:type="spellEnd"/>
            <w:r w:rsidRPr="00570F57">
              <w:rPr>
                <w:rFonts w:ascii="Arial Narrow" w:hAnsi="Arial Narrow" w:cs="Arial"/>
                <w:color w:val="000000" w:themeColor="text1"/>
                <w:sz w:val="16"/>
                <w:szCs w:val="16"/>
                <w:lang w:val="es-MX"/>
              </w:rPr>
              <w:t>. y Equipo</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92,012</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-107,988</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Mto</w:t>
            </w:r>
            <w:proofErr w:type="spellEnd"/>
            <w:r w:rsidRPr="00570F57">
              <w:rPr>
                <w:rFonts w:ascii="Arial Narrow" w:hAnsi="Arial Narrow" w:cs="Arial"/>
                <w:color w:val="000000" w:themeColor="text1"/>
                <w:sz w:val="16"/>
                <w:szCs w:val="16"/>
                <w:lang w:val="es-MX"/>
              </w:rPr>
              <w:t>. y Conservación  Mobiliario y Equipo</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69,146</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-130,854</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3503</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proofErr w:type="spellStart"/>
            <w:r w:rsidRPr="00570F57">
              <w:rPr>
                <w:rFonts w:ascii="Arial Narrow" w:hAnsi="Arial Narrow" w:cs="Arial"/>
                <w:color w:val="000000" w:themeColor="text1"/>
                <w:sz w:val="16"/>
                <w:szCs w:val="16"/>
                <w:lang w:val="es-MX"/>
              </w:rPr>
              <w:t>Mto</w:t>
            </w:r>
            <w:proofErr w:type="spellEnd"/>
            <w:r w:rsidRPr="00570F57">
              <w:rPr>
                <w:rFonts w:ascii="Arial Narrow" w:hAnsi="Arial Narrow" w:cs="Arial"/>
                <w:color w:val="000000" w:themeColor="text1"/>
                <w:sz w:val="16"/>
                <w:szCs w:val="16"/>
                <w:lang w:val="es-MX"/>
              </w:rPr>
              <w:t>. y Conservación de Inmuebles</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659,100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405,576</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-253,524</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3514</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Instalaciones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4,505</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-10,495</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3701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Pasajes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350,000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136,448</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-213,552</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3702</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Viáticos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528,000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476,345</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-51,655</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3801</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Gastos Ceremoniales y de Orden Social</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303,323</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40,850</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-262,473</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3903</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Cuotas</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35,092</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-24,908</w:t>
            </w:r>
          </w:p>
        </w:tc>
      </w:tr>
      <w:tr w:rsidR="00F71160" w:rsidRPr="00570F57" w:rsidTr="00DA57A0">
        <w:trPr>
          <w:trHeight w:val="57"/>
        </w:trPr>
        <w:tc>
          <w:tcPr>
            <w:tcW w:w="72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DA57A0">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3906</w:t>
            </w:r>
          </w:p>
        </w:tc>
        <w:tc>
          <w:tcPr>
            <w:tcW w:w="32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Fomento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Deportivo</w:t>
            </w:r>
            <w:proofErr w:type="spellEnd"/>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100,000</w:t>
            </w:r>
          </w:p>
        </w:tc>
        <w:tc>
          <w:tcPr>
            <w:tcW w:w="94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50,117</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DA57A0">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-49,883</w:t>
            </w:r>
          </w:p>
        </w:tc>
      </w:tr>
    </w:tbl>
    <w:p w:rsidR="00F71160" w:rsidRPr="00570F57" w:rsidRDefault="00DA57A0" w:rsidP="00F71160">
      <w:pPr>
        <w:ind w:left="360" w:right="20"/>
        <w:jc w:val="both"/>
        <w:rPr>
          <w:rFonts w:ascii="Arial Narrow" w:hAnsi="Arial Narrow"/>
          <w:b/>
          <w:color w:val="000000" w:themeColor="text1"/>
          <w:lang w:val="es-MX"/>
        </w:rPr>
      </w:pPr>
      <w:r w:rsidRPr="00570F57">
        <w:rPr>
          <w:rFonts w:ascii="Arial Narrow" w:hAnsi="Arial Narrow"/>
          <w:b/>
          <w:color w:val="000000" w:themeColor="text1"/>
          <w:lang w:val="es-MX"/>
        </w:rPr>
        <w:br w:type="textWrapping" w:clear="all"/>
      </w:r>
      <w:r w:rsidR="00F71160" w:rsidRPr="00570F57">
        <w:rPr>
          <w:rFonts w:ascii="Arial Narrow" w:hAnsi="Arial Narrow"/>
          <w:b/>
          <w:color w:val="000000" w:themeColor="text1"/>
          <w:lang w:val="es-MX"/>
        </w:rPr>
        <w:t>Cabe mencionar que existen partidas cuyo presupuesto original se modificó y no fue ejercido en su totalidad, presentando suficiencia presupuestal, como se muestra a continuación:</w:t>
      </w:r>
    </w:p>
    <w:tbl>
      <w:tblPr>
        <w:tblW w:w="6620" w:type="dxa"/>
        <w:tblInd w:w="1114" w:type="dxa"/>
        <w:tblCellMar>
          <w:left w:w="70" w:type="dxa"/>
          <w:right w:w="70" w:type="dxa"/>
        </w:tblCellMar>
        <w:tblLook w:val="0000"/>
      </w:tblPr>
      <w:tblGrid>
        <w:gridCol w:w="860"/>
        <w:gridCol w:w="2680"/>
        <w:gridCol w:w="1000"/>
        <w:gridCol w:w="980"/>
        <w:gridCol w:w="1100"/>
      </w:tblGrid>
      <w:tr w:rsidR="00F71160" w:rsidRPr="00570F57" w:rsidTr="00BC2B4C">
        <w:trPr>
          <w:trHeight w:val="295"/>
          <w:tblHeader/>
        </w:trPr>
        <w:tc>
          <w:tcPr>
            <w:tcW w:w="860" w:type="dxa"/>
            <w:vMerge w:val="restart"/>
            <w:tcBorders>
              <w:top w:val="single" w:sz="4" w:space="0" w:color="auto"/>
              <w:left w:val="single" w:sz="4" w:space="0" w:color="auto"/>
              <w:right w:val="single" w:sz="4" w:space="0" w:color="auto"/>
            </w:tcBorders>
            <w:shd w:val="clear" w:color="auto" w:fill="auto"/>
            <w:vAlign w:val="center"/>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Partida</w:t>
            </w:r>
            <w:proofErr w:type="spellEnd"/>
          </w:p>
        </w:tc>
        <w:tc>
          <w:tcPr>
            <w:tcW w:w="2680" w:type="dxa"/>
            <w:vMerge w:val="restart"/>
            <w:tcBorders>
              <w:top w:val="single" w:sz="4" w:space="0" w:color="auto"/>
              <w:left w:val="nil"/>
              <w:right w:val="single" w:sz="4" w:space="0" w:color="auto"/>
            </w:tcBorders>
            <w:shd w:val="clear" w:color="auto" w:fill="auto"/>
            <w:vAlign w:val="center"/>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Concepto</w:t>
            </w:r>
            <w:proofErr w:type="spellEnd"/>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Presupuesto</w:t>
            </w:r>
            <w:proofErr w:type="spellEnd"/>
          </w:p>
        </w:tc>
        <w:tc>
          <w:tcPr>
            <w:tcW w:w="1100" w:type="dxa"/>
            <w:vMerge w:val="restart"/>
            <w:tcBorders>
              <w:top w:val="single" w:sz="4" w:space="0" w:color="auto"/>
              <w:left w:val="nil"/>
              <w:right w:val="single" w:sz="4" w:space="0" w:color="auto"/>
            </w:tcBorders>
            <w:shd w:val="clear" w:color="auto" w:fill="auto"/>
            <w:vAlign w:val="center"/>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Ejercido</w:t>
            </w:r>
            <w:proofErr w:type="spellEnd"/>
            <w:r w:rsidRPr="00570F57">
              <w:rPr>
                <w:rFonts w:ascii="Arial Narrow" w:hAnsi="Arial Narrow" w:cs="Arial"/>
                <w:b/>
                <w:bCs/>
                <w:color w:val="000000" w:themeColor="text1"/>
                <w:sz w:val="16"/>
                <w:szCs w:val="16"/>
              </w:rPr>
              <w:t xml:space="preserve"> </w:t>
            </w:r>
            <w:proofErr w:type="spellStart"/>
            <w:r w:rsidRPr="00570F57">
              <w:rPr>
                <w:rFonts w:ascii="Arial Narrow" w:hAnsi="Arial Narrow" w:cs="Arial"/>
                <w:b/>
                <w:bCs/>
                <w:color w:val="000000" w:themeColor="text1"/>
                <w:sz w:val="16"/>
                <w:szCs w:val="16"/>
              </w:rPr>
              <w:t>vs</w:t>
            </w:r>
            <w:proofErr w:type="spellEnd"/>
            <w:r w:rsidRPr="00570F57">
              <w:rPr>
                <w:rFonts w:ascii="Arial Narrow" w:hAnsi="Arial Narrow" w:cs="Arial"/>
                <w:b/>
                <w:bCs/>
                <w:color w:val="000000" w:themeColor="text1"/>
                <w:sz w:val="16"/>
                <w:szCs w:val="16"/>
              </w:rPr>
              <w:t xml:space="preserve"> </w:t>
            </w:r>
            <w:proofErr w:type="spellStart"/>
            <w:r w:rsidRPr="00570F57">
              <w:rPr>
                <w:rFonts w:ascii="Arial Narrow" w:hAnsi="Arial Narrow" w:cs="Arial"/>
                <w:b/>
                <w:bCs/>
                <w:color w:val="000000" w:themeColor="text1"/>
                <w:sz w:val="16"/>
                <w:szCs w:val="16"/>
              </w:rPr>
              <w:t>Modificado</w:t>
            </w:r>
            <w:proofErr w:type="spellEnd"/>
          </w:p>
        </w:tc>
      </w:tr>
      <w:tr w:rsidR="00F71160" w:rsidRPr="00570F57" w:rsidTr="00BC2B4C">
        <w:trPr>
          <w:trHeight w:val="235"/>
          <w:tblHeader/>
        </w:trPr>
        <w:tc>
          <w:tcPr>
            <w:tcW w:w="860" w:type="dxa"/>
            <w:vMerge/>
            <w:tcBorders>
              <w:left w:val="single" w:sz="4" w:space="0" w:color="auto"/>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
        </w:tc>
        <w:tc>
          <w:tcPr>
            <w:tcW w:w="2680" w:type="dxa"/>
            <w:vMerge/>
            <w:tcBorders>
              <w:left w:val="nil"/>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
        </w:tc>
        <w:tc>
          <w:tcPr>
            <w:tcW w:w="1000" w:type="dxa"/>
            <w:tcBorders>
              <w:top w:val="single" w:sz="4" w:space="0" w:color="auto"/>
              <w:left w:val="nil"/>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Modificado</w:t>
            </w:r>
            <w:proofErr w:type="spellEnd"/>
          </w:p>
        </w:tc>
        <w:tc>
          <w:tcPr>
            <w:tcW w:w="980" w:type="dxa"/>
            <w:tcBorders>
              <w:top w:val="single" w:sz="4" w:space="0" w:color="auto"/>
              <w:left w:val="nil"/>
              <w:bottom w:val="single" w:sz="4" w:space="0" w:color="auto"/>
              <w:right w:val="single" w:sz="4" w:space="0" w:color="auto"/>
            </w:tcBorders>
            <w:shd w:val="clear" w:color="auto" w:fill="auto"/>
            <w:vAlign w:val="bottom"/>
          </w:tcPr>
          <w:p w:rsidR="00F71160" w:rsidRPr="00570F57" w:rsidRDefault="00F71160" w:rsidP="00BC2B4C">
            <w:pPr>
              <w:jc w:val="center"/>
              <w:rPr>
                <w:rFonts w:ascii="Arial Narrow" w:hAnsi="Arial Narrow" w:cs="Arial"/>
                <w:b/>
                <w:bCs/>
                <w:color w:val="000000" w:themeColor="text1"/>
                <w:sz w:val="16"/>
                <w:szCs w:val="16"/>
              </w:rPr>
            </w:pPr>
            <w:proofErr w:type="spellStart"/>
            <w:r w:rsidRPr="00570F57">
              <w:rPr>
                <w:rFonts w:ascii="Arial Narrow" w:hAnsi="Arial Narrow" w:cs="Arial"/>
                <w:b/>
                <w:bCs/>
                <w:color w:val="000000" w:themeColor="text1"/>
                <w:sz w:val="16"/>
                <w:szCs w:val="16"/>
              </w:rPr>
              <w:t>Ejercido</w:t>
            </w:r>
            <w:proofErr w:type="spellEnd"/>
          </w:p>
        </w:tc>
        <w:tc>
          <w:tcPr>
            <w:tcW w:w="1100" w:type="dxa"/>
            <w:vMerge/>
            <w:tcBorders>
              <w:left w:val="nil"/>
              <w:bottom w:val="single" w:sz="4" w:space="0" w:color="auto"/>
              <w:right w:val="single" w:sz="4" w:space="0" w:color="auto"/>
            </w:tcBorders>
            <w:shd w:val="clear" w:color="auto" w:fill="auto"/>
            <w:vAlign w:val="center"/>
          </w:tcPr>
          <w:p w:rsidR="00F71160" w:rsidRPr="00570F57" w:rsidRDefault="00F71160" w:rsidP="00BC2B4C">
            <w:pPr>
              <w:jc w:val="center"/>
              <w:rPr>
                <w:rFonts w:ascii="Arial Narrow" w:hAnsi="Arial Narrow" w:cs="Arial"/>
                <w:b/>
                <w:bCs/>
                <w:color w:val="000000" w:themeColor="text1"/>
                <w:sz w:val="16"/>
                <w:szCs w:val="16"/>
              </w:rPr>
            </w:pP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3301</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Asesoría</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Capacitación</w:t>
            </w:r>
            <w:proofErr w:type="spellEnd"/>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$1,418,000</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$1,398,356</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   -19,644</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3402</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Gastos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Financieros</w:t>
            </w:r>
            <w:proofErr w:type="spellEnd"/>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150,000</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137,174</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-12,826</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3602</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Impresiones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Publicaciones</w:t>
            </w:r>
            <w:proofErr w:type="spellEnd"/>
            <w:r w:rsidRPr="00570F57">
              <w:rPr>
                <w:rFonts w:ascii="Arial Narrow" w:hAnsi="Arial Narrow" w:cs="Arial"/>
                <w:color w:val="000000" w:themeColor="text1"/>
                <w:sz w:val="16"/>
                <w:szCs w:val="16"/>
              </w:rPr>
              <w:t xml:space="preserve"> Of.</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9,304,053</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9,100,010</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-204,043</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3802</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Congresos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Convenciones</w:t>
            </w:r>
            <w:proofErr w:type="spellEnd"/>
            <w:r w:rsidRPr="00570F57">
              <w:rPr>
                <w:rFonts w:ascii="Arial Narrow" w:hAnsi="Arial Narrow" w:cs="Arial"/>
                <w:color w:val="000000" w:themeColor="text1"/>
                <w:sz w:val="16"/>
                <w:szCs w:val="16"/>
              </w:rPr>
              <w:t xml:space="preserve"> y Exp.</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981,975</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712,679</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-269,296</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4101</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lang w:val="es-MX"/>
              </w:rPr>
            </w:pPr>
            <w:r w:rsidRPr="00570F57">
              <w:rPr>
                <w:rFonts w:ascii="Arial Narrow" w:hAnsi="Arial Narrow" w:cs="Arial"/>
                <w:color w:val="000000" w:themeColor="text1"/>
                <w:sz w:val="16"/>
                <w:szCs w:val="16"/>
                <w:lang w:val="es-MX"/>
              </w:rPr>
              <w:t xml:space="preserve">Apoyo P. a </w:t>
            </w:r>
            <w:proofErr w:type="spellStart"/>
            <w:r w:rsidRPr="00570F57">
              <w:rPr>
                <w:rFonts w:ascii="Arial Narrow" w:hAnsi="Arial Narrow" w:cs="Arial"/>
                <w:color w:val="000000" w:themeColor="text1"/>
                <w:sz w:val="16"/>
                <w:szCs w:val="16"/>
                <w:lang w:val="es-MX"/>
              </w:rPr>
              <w:t>Org</w:t>
            </w:r>
            <w:proofErr w:type="spellEnd"/>
            <w:r w:rsidRPr="00570F57">
              <w:rPr>
                <w:rFonts w:ascii="Arial Narrow" w:hAnsi="Arial Narrow" w:cs="Arial"/>
                <w:color w:val="000000" w:themeColor="text1"/>
                <w:sz w:val="16"/>
                <w:szCs w:val="16"/>
                <w:lang w:val="es-MX"/>
              </w:rPr>
              <w:t>. E Instituciones</w:t>
            </w:r>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2,900,000</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2,747,600</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-152,400</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5101</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Mobiliario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Administración</w:t>
            </w:r>
            <w:proofErr w:type="spellEnd"/>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170,000</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131,479</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-38,521</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5103</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Educacional</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Recreativo</w:t>
            </w:r>
            <w:proofErr w:type="spellEnd"/>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38,120</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34,220</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-3,900</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5206</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Equipo</w:t>
            </w:r>
            <w:proofErr w:type="spellEnd"/>
            <w:r w:rsidRPr="00570F57">
              <w:rPr>
                <w:rFonts w:ascii="Arial Narrow" w:hAnsi="Arial Narrow" w:cs="Arial"/>
                <w:color w:val="000000" w:themeColor="text1"/>
                <w:sz w:val="16"/>
                <w:szCs w:val="16"/>
              </w:rPr>
              <w:t xml:space="preserve"> de </w:t>
            </w:r>
            <w:proofErr w:type="spellStart"/>
            <w:r w:rsidRPr="00570F57">
              <w:rPr>
                <w:rFonts w:ascii="Arial Narrow" w:hAnsi="Arial Narrow" w:cs="Arial"/>
                <w:color w:val="000000" w:themeColor="text1"/>
                <w:sz w:val="16"/>
                <w:szCs w:val="16"/>
              </w:rPr>
              <w:t>Computación</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Electrónica</w:t>
            </w:r>
            <w:proofErr w:type="spellEnd"/>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80,000</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66,867</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-13,133</w:t>
            </w:r>
          </w:p>
        </w:tc>
      </w:tr>
      <w:tr w:rsidR="00F71160" w:rsidRPr="00570F57" w:rsidTr="00BC2B4C">
        <w:trPr>
          <w:trHeight w:val="57"/>
          <w:tblHeader/>
        </w:trPr>
        <w:tc>
          <w:tcPr>
            <w:tcW w:w="860" w:type="dxa"/>
            <w:tcBorders>
              <w:top w:val="nil"/>
              <w:left w:val="single" w:sz="4" w:space="0" w:color="auto"/>
              <w:bottom w:val="single" w:sz="4" w:space="0" w:color="auto"/>
              <w:right w:val="single" w:sz="4" w:space="0" w:color="auto"/>
            </w:tcBorders>
            <w:shd w:val="clear" w:color="auto" w:fill="auto"/>
            <w:noWrap/>
            <w:vAlign w:val="bottom"/>
          </w:tcPr>
          <w:p w:rsidR="00F71160" w:rsidRPr="00570F57" w:rsidRDefault="00F71160" w:rsidP="00BC2B4C">
            <w:pPr>
              <w:spacing w:before="20" w:after="20"/>
              <w:jc w:val="center"/>
              <w:rPr>
                <w:rFonts w:ascii="Arial Narrow" w:hAnsi="Arial Narrow" w:cs="Arial"/>
                <w:color w:val="000000" w:themeColor="text1"/>
                <w:sz w:val="16"/>
                <w:szCs w:val="16"/>
              </w:rPr>
            </w:pPr>
            <w:r w:rsidRPr="00570F57">
              <w:rPr>
                <w:rFonts w:ascii="Arial Narrow" w:hAnsi="Arial Narrow" w:cs="Arial"/>
                <w:color w:val="000000" w:themeColor="text1"/>
                <w:sz w:val="16"/>
                <w:szCs w:val="16"/>
              </w:rPr>
              <w:t>5502</w:t>
            </w:r>
          </w:p>
        </w:tc>
        <w:tc>
          <w:tcPr>
            <w:tcW w:w="26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rPr>
                <w:rFonts w:ascii="Arial Narrow" w:hAnsi="Arial Narrow" w:cs="Arial"/>
                <w:color w:val="000000" w:themeColor="text1"/>
                <w:sz w:val="16"/>
                <w:szCs w:val="16"/>
              </w:rPr>
            </w:pPr>
            <w:proofErr w:type="spellStart"/>
            <w:r w:rsidRPr="00570F57">
              <w:rPr>
                <w:rFonts w:ascii="Arial Narrow" w:hAnsi="Arial Narrow" w:cs="Arial"/>
                <w:color w:val="000000" w:themeColor="text1"/>
                <w:sz w:val="16"/>
                <w:szCs w:val="16"/>
              </w:rPr>
              <w:t>Refacciones</w:t>
            </w:r>
            <w:proofErr w:type="spellEnd"/>
            <w:r w:rsidRPr="00570F57">
              <w:rPr>
                <w:rFonts w:ascii="Arial Narrow" w:hAnsi="Arial Narrow" w:cs="Arial"/>
                <w:color w:val="000000" w:themeColor="text1"/>
                <w:sz w:val="16"/>
                <w:szCs w:val="16"/>
              </w:rPr>
              <w:t xml:space="preserve"> y </w:t>
            </w:r>
            <w:proofErr w:type="spellStart"/>
            <w:r w:rsidRPr="00570F57">
              <w:rPr>
                <w:rFonts w:ascii="Arial Narrow" w:hAnsi="Arial Narrow" w:cs="Arial"/>
                <w:color w:val="000000" w:themeColor="text1"/>
                <w:sz w:val="16"/>
                <w:szCs w:val="16"/>
              </w:rPr>
              <w:t>Accesorios</w:t>
            </w:r>
            <w:proofErr w:type="spellEnd"/>
            <w:r w:rsidRPr="00570F57">
              <w:rPr>
                <w:rFonts w:ascii="Arial Narrow" w:hAnsi="Arial Narrow" w:cs="Arial"/>
                <w:color w:val="000000" w:themeColor="text1"/>
                <w:sz w:val="16"/>
                <w:szCs w:val="16"/>
              </w:rPr>
              <w:t xml:space="preserve"> </w:t>
            </w:r>
            <w:proofErr w:type="spellStart"/>
            <w:r w:rsidRPr="00570F57">
              <w:rPr>
                <w:rFonts w:ascii="Arial Narrow" w:hAnsi="Arial Narrow" w:cs="Arial"/>
                <w:color w:val="000000" w:themeColor="text1"/>
                <w:sz w:val="16"/>
                <w:szCs w:val="16"/>
              </w:rPr>
              <w:t>Mayores</w:t>
            </w:r>
            <w:proofErr w:type="spellEnd"/>
          </w:p>
        </w:tc>
        <w:tc>
          <w:tcPr>
            <w:tcW w:w="10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24,956</w:t>
            </w:r>
          </w:p>
        </w:tc>
        <w:tc>
          <w:tcPr>
            <w:tcW w:w="98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4,546</w:t>
            </w:r>
          </w:p>
        </w:tc>
        <w:tc>
          <w:tcPr>
            <w:tcW w:w="1100" w:type="dxa"/>
            <w:tcBorders>
              <w:top w:val="nil"/>
              <w:left w:val="nil"/>
              <w:bottom w:val="single" w:sz="4" w:space="0" w:color="auto"/>
              <w:right w:val="single" w:sz="4" w:space="0" w:color="auto"/>
            </w:tcBorders>
            <w:shd w:val="clear" w:color="auto" w:fill="auto"/>
            <w:noWrap/>
            <w:vAlign w:val="bottom"/>
          </w:tcPr>
          <w:p w:rsidR="00F71160" w:rsidRPr="00570F57" w:rsidRDefault="00F71160" w:rsidP="00BC2B4C">
            <w:pPr>
              <w:spacing w:before="20" w:after="20"/>
              <w:jc w:val="right"/>
              <w:rPr>
                <w:rFonts w:ascii="Arial Narrow" w:hAnsi="Arial Narrow" w:cs="Arial"/>
                <w:color w:val="000000" w:themeColor="text1"/>
                <w:sz w:val="16"/>
                <w:szCs w:val="16"/>
              </w:rPr>
            </w:pPr>
            <w:r w:rsidRPr="00570F57">
              <w:rPr>
                <w:rFonts w:ascii="Arial Narrow" w:hAnsi="Arial Narrow" w:cs="Arial"/>
                <w:color w:val="000000" w:themeColor="text1"/>
                <w:sz w:val="16"/>
                <w:szCs w:val="16"/>
              </w:rPr>
              <w:t>-20,410</w:t>
            </w:r>
          </w:p>
        </w:tc>
      </w:tr>
    </w:tbl>
    <w:p w:rsidR="00F71160" w:rsidRPr="00570F57" w:rsidRDefault="00F71160">
      <w:pPr>
        <w:ind w:left="1276" w:right="-73"/>
        <w:rPr>
          <w:rFonts w:ascii="Century Gothic" w:hAnsi="Century Gothic" w:cs="Century Gothic"/>
          <w:color w:val="000000" w:themeColor="text1"/>
          <w:sz w:val="14"/>
          <w:szCs w:val="14"/>
          <w:lang w:val="es-ES_tradnl"/>
        </w:rPr>
      </w:pPr>
    </w:p>
    <w:p w:rsidR="00F71160" w:rsidRPr="00570F57" w:rsidRDefault="00F71160">
      <w:pPr>
        <w:ind w:left="1276" w:right="-73"/>
        <w:rPr>
          <w:rFonts w:ascii="Century Gothic" w:hAnsi="Century Gothic" w:cs="Century Gothic"/>
          <w:color w:val="000000" w:themeColor="text1"/>
          <w:sz w:val="14"/>
          <w:szCs w:val="14"/>
          <w:lang w:val="es-ES_tradnl"/>
        </w:rPr>
      </w:pPr>
    </w:p>
    <w:tbl>
      <w:tblPr>
        <w:tblpPr w:leftFromText="141" w:rightFromText="141" w:vertAnchor="text" w:horzAnchor="page" w:tblpX="1558" w:tblpY="135"/>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3237"/>
        <w:gridCol w:w="3163"/>
      </w:tblGrid>
      <w:tr w:rsidR="00F71160" w:rsidRPr="00570F57" w:rsidTr="00730B27">
        <w:trPr>
          <w:trHeight w:val="572"/>
        </w:trPr>
        <w:tc>
          <w:tcPr>
            <w:tcW w:w="675" w:type="dxa"/>
            <w:shd w:val="clear" w:color="auto" w:fill="CCCCCC"/>
            <w:vAlign w:val="center"/>
          </w:tcPr>
          <w:p w:rsidR="00F71160" w:rsidRPr="00570F57" w:rsidRDefault="00F71160"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lastRenderedPageBreak/>
              <w:t>No.</w:t>
            </w:r>
          </w:p>
        </w:tc>
        <w:tc>
          <w:tcPr>
            <w:tcW w:w="2977" w:type="dxa"/>
            <w:shd w:val="clear" w:color="auto" w:fill="CCCCCC"/>
            <w:vAlign w:val="center"/>
          </w:tcPr>
          <w:p w:rsidR="00F71160" w:rsidRPr="00570F57" w:rsidRDefault="00F71160" w:rsidP="00BC2B4C">
            <w:pPr>
              <w:ind w:left="34"/>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OBSERVACIÓN</w:t>
            </w:r>
          </w:p>
        </w:tc>
        <w:tc>
          <w:tcPr>
            <w:tcW w:w="3237" w:type="dxa"/>
            <w:shd w:val="clear" w:color="auto" w:fill="CCCCCC"/>
          </w:tcPr>
          <w:p w:rsidR="00F71160" w:rsidRPr="00570F57" w:rsidRDefault="00F71160" w:rsidP="00BC2B4C">
            <w:pPr>
              <w:jc w:val="center"/>
              <w:rPr>
                <w:rFonts w:ascii="Arial" w:hAnsi="Arial" w:cs="Arial"/>
                <w:b/>
                <w:color w:val="000000" w:themeColor="text1"/>
                <w:sz w:val="20"/>
                <w:szCs w:val="20"/>
                <w:lang w:val="es-MX"/>
              </w:rPr>
            </w:pPr>
          </w:p>
          <w:p w:rsidR="00F71160" w:rsidRPr="00570F57" w:rsidRDefault="00F71160" w:rsidP="00BC2B4C">
            <w:pPr>
              <w:jc w:val="center"/>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JUSTIFICACIÓN</w:t>
            </w:r>
          </w:p>
        </w:tc>
        <w:tc>
          <w:tcPr>
            <w:tcW w:w="3163" w:type="dxa"/>
            <w:shd w:val="clear" w:color="auto" w:fill="CCCCCC"/>
            <w:vAlign w:val="center"/>
          </w:tcPr>
          <w:p w:rsidR="00F71160" w:rsidRPr="00570F57" w:rsidRDefault="00F71160" w:rsidP="00BC2B4C">
            <w:pPr>
              <w:ind w:left="199"/>
              <w:rPr>
                <w:rFonts w:ascii="Arial" w:hAnsi="Arial" w:cs="Arial"/>
                <w:b/>
                <w:color w:val="000000" w:themeColor="text1"/>
                <w:sz w:val="20"/>
                <w:szCs w:val="20"/>
                <w:lang w:val="es-MX"/>
              </w:rPr>
            </w:pPr>
            <w:r w:rsidRPr="00570F57">
              <w:rPr>
                <w:rFonts w:ascii="Arial" w:hAnsi="Arial" w:cs="Arial"/>
                <w:b/>
                <w:color w:val="000000" w:themeColor="text1"/>
                <w:sz w:val="20"/>
                <w:szCs w:val="20"/>
                <w:lang w:val="es-MX"/>
              </w:rPr>
              <w:t>SOLVENTACIÓN O MEDIDAS DICTADAS</w:t>
            </w:r>
          </w:p>
        </w:tc>
      </w:tr>
      <w:tr w:rsidR="00F71160" w:rsidRPr="00BA748E" w:rsidTr="00730B27">
        <w:trPr>
          <w:trHeight w:val="182"/>
        </w:trPr>
        <w:tc>
          <w:tcPr>
            <w:tcW w:w="675" w:type="dxa"/>
            <w:vAlign w:val="center"/>
          </w:tcPr>
          <w:p w:rsidR="00F71160" w:rsidRPr="00570F57" w:rsidRDefault="00F71160" w:rsidP="00BC2B4C">
            <w:pPr>
              <w:spacing w:line="240" w:lineRule="exact"/>
              <w:rPr>
                <w:rFonts w:ascii="Arial Narrow" w:hAnsi="Arial Narrow" w:cs="Arial"/>
                <w:color w:val="000000" w:themeColor="text1"/>
                <w:lang w:val="es-MX"/>
              </w:rPr>
            </w:pPr>
            <w:r w:rsidRPr="00570F57">
              <w:rPr>
                <w:rFonts w:ascii="Arial Narrow" w:hAnsi="Arial Narrow" w:cs="Arial"/>
                <w:color w:val="000000" w:themeColor="text1"/>
                <w:lang w:val="es-MX"/>
              </w:rPr>
              <w:t>7</w:t>
            </w:r>
          </w:p>
        </w:tc>
        <w:tc>
          <w:tcPr>
            <w:tcW w:w="2977" w:type="dxa"/>
          </w:tcPr>
          <w:p w:rsidR="00F71160" w:rsidRPr="00570F57" w:rsidRDefault="00E66203" w:rsidP="00BC2B4C">
            <w:pPr>
              <w:spacing w:after="0"/>
              <w:ind w:left="33"/>
              <w:jc w:val="both"/>
              <w:rPr>
                <w:rFonts w:ascii="Arial Narrow" w:hAnsi="Arial Narrow" w:cs="Arial"/>
                <w:color w:val="000000" w:themeColor="text1"/>
                <w:lang w:val="es-MX"/>
              </w:rPr>
            </w:pPr>
            <w:r w:rsidRPr="00570F57">
              <w:rPr>
                <w:rFonts w:ascii="Arial Narrow" w:hAnsi="Arial Narrow"/>
                <w:color w:val="000000" w:themeColor="text1"/>
                <w:lang w:val="es-MX"/>
              </w:rPr>
              <w:t xml:space="preserve">19.- </w:t>
            </w:r>
            <w:r w:rsidR="00F71160" w:rsidRPr="00570F57">
              <w:rPr>
                <w:rFonts w:ascii="Arial Narrow" w:hAnsi="Arial Narrow"/>
                <w:color w:val="000000" w:themeColor="text1"/>
                <w:lang w:val="es-MX"/>
              </w:rPr>
              <w:t>En el informe de la Cuenta Pública del ejercicio de 2010, el sujeto fiscalizado informa de la existencia de ciertas partidas cuyos presupuestos autorizados originalmente no fueron ejercidos en su totalidad, presentando suficiencia presupuestal sin proporcionarnos justificación alguna que explique este hecho, según consta al analizar el formato CPO-10-02 denominado “Analítico de Recursos Ejercidos por Partida Presupuestal”,</w:t>
            </w:r>
          </w:p>
        </w:tc>
        <w:tc>
          <w:tcPr>
            <w:tcW w:w="3237" w:type="dxa"/>
          </w:tcPr>
          <w:p w:rsidR="00F71160" w:rsidRPr="00570F57" w:rsidRDefault="00730B27" w:rsidP="008F7914">
            <w:pPr>
              <w:ind w:left="119"/>
              <w:jc w:val="both"/>
              <w:rPr>
                <w:rFonts w:ascii="Arial Narrow" w:hAnsi="Arial Narrow" w:cs="Arial"/>
                <w:color w:val="000000" w:themeColor="text1"/>
                <w:lang w:val="es-MX"/>
              </w:rPr>
            </w:pPr>
            <w:r w:rsidRPr="00570F57">
              <w:rPr>
                <w:rFonts w:ascii="Arial Narrow" w:hAnsi="Arial Narrow" w:cs="Arial"/>
                <w:color w:val="000000" w:themeColor="text1"/>
                <w:lang w:val="es-MX"/>
              </w:rPr>
              <w:t>Respecto a la presente observación sobre las partidas que tienen suf</w:t>
            </w:r>
            <w:r w:rsidR="00DA57A0" w:rsidRPr="00570F57">
              <w:rPr>
                <w:rFonts w:ascii="Arial Narrow" w:hAnsi="Arial Narrow" w:cs="Arial"/>
                <w:color w:val="000000" w:themeColor="text1"/>
                <w:lang w:val="es-MX"/>
              </w:rPr>
              <w:t>iciencia presupuestal, es observado</w:t>
            </w:r>
            <w:r w:rsidRPr="00570F57">
              <w:rPr>
                <w:rFonts w:ascii="Arial Narrow" w:hAnsi="Arial Narrow" w:cs="Arial"/>
                <w:color w:val="000000" w:themeColor="text1"/>
                <w:lang w:val="es-MX"/>
              </w:rPr>
              <w:t xml:space="preserve"> del formato, en donde para sacar la variación </w:t>
            </w:r>
            <w:r w:rsidR="008F7914" w:rsidRPr="00570F57">
              <w:rPr>
                <w:rFonts w:ascii="Arial Narrow" w:hAnsi="Arial Narrow" w:cs="Arial"/>
                <w:color w:val="000000" w:themeColor="text1"/>
                <w:lang w:val="es-MX"/>
              </w:rPr>
              <w:t>se resta el presupuesto original y el ejercido, sin tomar en cuenta que estas partidas sufrieron modificaciones en el transcurso del ejercicio</w:t>
            </w:r>
            <w:r w:rsidR="00DA57A0" w:rsidRPr="00570F57">
              <w:rPr>
                <w:rFonts w:ascii="Arial Narrow" w:hAnsi="Arial Narrow" w:cs="Arial"/>
                <w:color w:val="000000" w:themeColor="text1"/>
                <w:lang w:val="es-MX"/>
              </w:rPr>
              <w:t>,</w:t>
            </w:r>
            <w:r w:rsidRPr="00570F57">
              <w:rPr>
                <w:rFonts w:ascii="Arial Narrow" w:hAnsi="Arial Narrow" w:cs="Arial"/>
                <w:color w:val="000000" w:themeColor="text1"/>
                <w:lang w:val="es-MX"/>
              </w:rPr>
              <w:t xml:space="preserve"> decir la suficiencia presupuestal no significa que dicho recurso haya quedado sin ejercerse,</w:t>
            </w:r>
            <w:r w:rsidR="008F7914" w:rsidRPr="00570F57">
              <w:rPr>
                <w:rFonts w:ascii="Arial Narrow" w:hAnsi="Arial Narrow" w:cs="Arial"/>
                <w:color w:val="000000" w:themeColor="text1"/>
                <w:lang w:val="es-MX"/>
              </w:rPr>
              <w:t xml:space="preserve"> </w:t>
            </w:r>
            <w:r w:rsidR="00DA57A0" w:rsidRPr="00570F57">
              <w:rPr>
                <w:rFonts w:ascii="Arial Narrow" w:hAnsi="Arial Narrow" w:cs="Arial"/>
                <w:color w:val="000000" w:themeColor="text1"/>
                <w:lang w:val="es-MX"/>
              </w:rPr>
              <w:t xml:space="preserve">ya </w:t>
            </w:r>
            <w:r w:rsidR="008F7914" w:rsidRPr="00570F57">
              <w:rPr>
                <w:rFonts w:ascii="Arial Narrow" w:hAnsi="Arial Narrow" w:cs="Arial"/>
                <w:color w:val="000000" w:themeColor="text1"/>
                <w:lang w:val="es-MX"/>
              </w:rPr>
              <w:t>que este fue reasignado a otras partidas que necesitaban esta suficiencia presupuestaría. Además de que estas modificaciones son informadas en los formatos correspondientes, y estas se hacen con el fin de no presentar sobregiros dentro del presupuesto, por lo que se considera que estas modificaciones si son informadas en tiempo y forma.</w:t>
            </w:r>
          </w:p>
        </w:tc>
        <w:tc>
          <w:tcPr>
            <w:tcW w:w="3163" w:type="dxa"/>
          </w:tcPr>
          <w:p w:rsidR="00644B0D" w:rsidRPr="00570F57" w:rsidRDefault="00644B0D" w:rsidP="00BC2B4C">
            <w:pPr>
              <w:ind w:left="70"/>
              <w:jc w:val="both"/>
              <w:rPr>
                <w:rFonts w:ascii="Arial Narrow" w:hAnsi="Arial Narrow" w:cs="Arial"/>
                <w:color w:val="000000" w:themeColor="text1"/>
                <w:lang w:val="es-MX"/>
              </w:rPr>
            </w:pPr>
            <w:r w:rsidRPr="00570F57">
              <w:rPr>
                <w:rFonts w:ascii="Arial Narrow" w:hAnsi="Arial Narrow" w:cs="Arial"/>
                <w:color w:val="000000" w:themeColor="text1"/>
                <w:lang w:val="es-MX"/>
              </w:rPr>
              <w:t>En lo que respecta a las partidas que sufrieron una modificación al presupuesto original y que al cierre del ejercicio tiene suficiencia presupuestal después de haberse ejercido, se debe a ahorros presupuestales que se hicieron durante el ejercicio 2010, para poder hacer pagos a proveedores heredados a esta administración, por lo que se tuvieron que hacer frente con el presupuesto del año en mención.</w:t>
            </w:r>
          </w:p>
          <w:p w:rsidR="00644B0D" w:rsidRPr="00570F57" w:rsidRDefault="00644B0D" w:rsidP="00644B0D">
            <w:pPr>
              <w:jc w:val="both"/>
              <w:rPr>
                <w:rFonts w:ascii="Arial Narrow" w:hAnsi="Arial Narrow" w:cs="Arial"/>
                <w:color w:val="000000" w:themeColor="text1"/>
                <w:lang w:val="es-MX"/>
              </w:rPr>
            </w:pPr>
            <w:r w:rsidRPr="00570F57">
              <w:rPr>
                <w:rFonts w:ascii="Arial Narrow" w:hAnsi="Arial Narrow" w:cs="Arial"/>
                <w:color w:val="000000" w:themeColor="text1"/>
                <w:lang w:val="es-MX"/>
              </w:rPr>
              <w:t>Además de que algunas metas que estaban dentro de la estructura programática fueron aplazadas para el ejercicio 2011, por lo que se presento este remanente presupuestario.</w:t>
            </w:r>
          </w:p>
          <w:p w:rsidR="00F71160" w:rsidRPr="00570F57" w:rsidRDefault="00644B0D" w:rsidP="00C24CD7">
            <w:pPr>
              <w:jc w:val="both"/>
              <w:rPr>
                <w:rFonts w:ascii="Arial Narrow" w:hAnsi="Arial Narrow" w:cs="Arial"/>
                <w:color w:val="000000" w:themeColor="text1"/>
                <w:lang w:val="es-MX"/>
              </w:rPr>
            </w:pPr>
            <w:r w:rsidRPr="00570F57">
              <w:rPr>
                <w:rFonts w:ascii="Arial Narrow" w:hAnsi="Arial Narrow" w:cs="Arial"/>
                <w:color w:val="000000" w:themeColor="text1"/>
                <w:lang w:val="es-MX"/>
              </w:rPr>
              <w:t xml:space="preserve">En el </w:t>
            </w:r>
            <w:r w:rsidRPr="00570F57">
              <w:rPr>
                <w:rFonts w:ascii="Arial Narrow" w:hAnsi="Arial Narrow" w:cs="Arial"/>
                <w:b/>
                <w:color w:val="000000" w:themeColor="text1"/>
                <w:lang w:val="es-MX"/>
              </w:rPr>
              <w:t>anexo</w:t>
            </w:r>
            <w:r w:rsidR="00DA57A0" w:rsidRPr="00570F57">
              <w:rPr>
                <w:rFonts w:ascii="Arial Narrow" w:hAnsi="Arial Narrow" w:cs="Arial"/>
                <w:b/>
                <w:color w:val="000000" w:themeColor="text1"/>
                <w:lang w:val="es-MX"/>
              </w:rPr>
              <w:t xml:space="preserve"> #7</w:t>
            </w:r>
            <w:r w:rsidR="00DA57A0" w:rsidRPr="00570F57">
              <w:rPr>
                <w:rFonts w:ascii="Arial Narrow" w:hAnsi="Arial Narrow" w:cs="Arial"/>
                <w:color w:val="000000" w:themeColor="text1"/>
                <w:lang w:val="es-MX"/>
              </w:rPr>
              <w:t xml:space="preserve"> </w:t>
            </w:r>
            <w:r w:rsidRPr="00570F57">
              <w:rPr>
                <w:rFonts w:ascii="Arial Narrow" w:hAnsi="Arial Narrow" w:cs="Arial"/>
                <w:color w:val="000000" w:themeColor="text1"/>
                <w:lang w:val="es-MX"/>
              </w:rPr>
              <w:t xml:space="preserve"> se muestra copia del acta de la primera sesión ordinaria del Órgano de Gobierno del ISJ</w:t>
            </w:r>
            <w:r w:rsidR="00C24CD7" w:rsidRPr="00570F57">
              <w:rPr>
                <w:rFonts w:ascii="Arial Narrow" w:hAnsi="Arial Narrow" w:cs="Arial"/>
                <w:color w:val="000000" w:themeColor="text1"/>
                <w:lang w:val="es-MX"/>
              </w:rPr>
              <w:t xml:space="preserve">, donde quedo aprobado en el punto 5.1.1 el cierre del presupuesto programático 2010 así como sus  modificaciones y variaciones. </w:t>
            </w:r>
            <w:r w:rsidRPr="00570F57">
              <w:rPr>
                <w:rFonts w:ascii="Arial Narrow" w:hAnsi="Arial Narrow" w:cs="Arial"/>
                <w:color w:val="000000" w:themeColor="text1"/>
                <w:lang w:val="es-MX"/>
              </w:rPr>
              <w:t xml:space="preserve"> </w:t>
            </w:r>
            <w:r w:rsidR="00C24CD7" w:rsidRPr="00570F57">
              <w:rPr>
                <w:rFonts w:ascii="Arial Narrow" w:hAnsi="Arial Narrow" w:cs="Arial"/>
                <w:color w:val="000000" w:themeColor="text1"/>
                <w:lang w:val="es-MX"/>
              </w:rPr>
              <w:t xml:space="preserve">Cabe aclarar que todas las modificaciones presupuestales quedaron plasmadas en los informes trimestrales y en las diferentes reuniones del Órgano de Gobierno. </w:t>
            </w:r>
          </w:p>
        </w:tc>
      </w:tr>
    </w:tbl>
    <w:p w:rsidR="00F71160" w:rsidRPr="00570F57" w:rsidRDefault="00F71160">
      <w:pPr>
        <w:ind w:left="1276" w:right="-73"/>
        <w:rPr>
          <w:rFonts w:ascii="Century Gothic" w:hAnsi="Century Gothic" w:cs="Century Gothic"/>
          <w:color w:val="000000" w:themeColor="text1"/>
          <w:sz w:val="14"/>
          <w:szCs w:val="14"/>
          <w:lang w:val="es-ES_tradnl"/>
        </w:rPr>
      </w:pPr>
    </w:p>
    <w:sectPr w:rsidR="00F71160" w:rsidRPr="00570F57" w:rsidSect="00EF5D25">
      <w:footerReference w:type="default" r:id="rId8"/>
      <w:pgSz w:w="12240" w:h="15840"/>
      <w:pgMar w:top="567" w:right="1325" w:bottom="266" w:left="1134" w:header="709" w:footer="1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F5F" w:rsidRDefault="00276F5F" w:rsidP="004D3DF6">
      <w:pPr>
        <w:spacing w:after="0"/>
      </w:pPr>
      <w:r>
        <w:separator/>
      </w:r>
    </w:p>
  </w:endnote>
  <w:endnote w:type="continuationSeparator" w:id="0">
    <w:p w:rsidR="00276F5F" w:rsidRDefault="00276F5F" w:rsidP="004D3D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DF" w:rsidRPr="00E15B95" w:rsidRDefault="001328DF" w:rsidP="00D11FE2">
    <w:pPr>
      <w:pStyle w:val="Piedepgina"/>
      <w:tabs>
        <w:tab w:val="clear" w:pos="4419"/>
        <w:tab w:val="clear" w:pos="8838"/>
        <w:tab w:val="center" w:pos="5760"/>
        <w:tab w:val="right" w:pos="11520"/>
      </w:tabs>
      <w:rPr>
        <w:rFonts w:ascii="Times New Roman" w:hAnsi="Times New Roman" w:cs="Times New Roman"/>
        <w:sz w:val="16"/>
        <w:szCs w:val="16"/>
        <w:lang w:val="es-ES"/>
      </w:rPr>
    </w:pPr>
    <w:r w:rsidRPr="00DB791D">
      <w:rPr>
        <w:rFonts w:ascii="Times New Roman" w:hAnsi="Times New Roman" w:cs="Times New Roman"/>
        <w:sz w:val="16"/>
        <w:szCs w:val="16"/>
        <w:lang w:val="es-ES"/>
      </w:rPr>
      <w:tab/>
    </w:r>
    <w:r w:rsidRPr="00DB791D">
      <w:rPr>
        <w:rFonts w:ascii="Times New Roman" w:hAnsi="Times New Roman" w:cs="Times New Roman"/>
        <w:noProof/>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F5F" w:rsidRDefault="00276F5F" w:rsidP="004D3DF6">
      <w:pPr>
        <w:spacing w:after="0"/>
      </w:pPr>
      <w:r>
        <w:separator/>
      </w:r>
    </w:p>
  </w:footnote>
  <w:footnote w:type="continuationSeparator" w:id="0">
    <w:p w:rsidR="00276F5F" w:rsidRDefault="00276F5F" w:rsidP="004D3D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E2A9A"/>
    <w:multiLevelType w:val="hybridMultilevel"/>
    <w:tmpl w:val="36F82234"/>
    <w:lvl w:ilvl="0" w:tplc="040A000B">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
    <w:nsid w:val="52E5591A"/>
    <w:multiLevelType w:val="hybridMultilevel"/>
    <w:tmpl w:val="1390D292"/>
    <w:lvl w:ilvl="0" w:tplc="2A1CBCDC">
      <w:start w:val="13"/>
      <w:numFmt w:val="decimal"/>
      <w:lvlText w:val="%1."/>
      <w:lvlJc w:val="left"/>
      <w:pPr>
        <w:tabs>
          <w:tab w:val="num" w:pos="357"/>
        </w:tabs>
        <w:ind w:left="357" w:hanging="357"/>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97946C7"/>
    <w:multiLevelType w:val="hybridMultilevel"/>
    <w:tmpl w:val="F8D83EA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69B20EED"/>
    <w:multiLevelType w:val="hybridMultilevel"/>
    <w:tmpl w:val="8F509A3E"/>
    <w:lvl w:ilvl="0" w:tplc="040A000B">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nsid w:val="6AF45D26"/>
    <w:multiLevelType w:val="hybridMultilevel"/>
    <w:tmpl w:val="1390D292"/>
    <w:lvl w:ilvl="0" w:tplc="2A1CBCDC">
      <w:start w:val="13"/>
      <w:numFmt w:val="decimal"/>
      <w:lvlText w:val="%1."/>
      <w:lvlJc w:val="left"/>
      <w:pPr>
        <w:tabs>
          <w:tab w:val="num" w:pos="357"/>
        </w:tabs>
        <w:ind w:left="357" w:hanging="357"/>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D4A7D4A"/>
    <w:multiLevelType w:val="hybridMultilevel"/>
    <w:tmpl w:val="BF440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75C600A7"/>
    <w:multiLevelType w:val="hybridMultilevel"/>
    <w:tmpl w:val="7160DCC6"/>
    <w:lvl w:ilvl="0" w:tplc="040A000B">
      <w:start w:val="1"/>
      <w:numFmt w:val="bullet"/>
      <w:lvlText w:val=""/>
      <w:lvlJc w:val="left"/>
      <w:pPr>
        <w:tabs>
          <w:tab w:val="num" w:pos="1935"/>
        </w:tabs>
        <w:ind w:left="1935" w:hanging="360"/>
      </w:pPr>
      <w:rPr>
        <w:rFonts w:ascii="Wingdings" w:hAnsi="Wingdings" w:hint="default"/>
      </w:rPr>
    </w:lvl>
    <w:lvl w:ilvl="1" w:tplc="040A0003">
      <w:start w:val="1"/>
      <w:numFmt w:val="bullet"/>
      <w:lvlText w:val="o"/>
      <w:lvlJc w:val="left"/>
      <w:pPr>
        <w:tabs>
          <w:tab w:val="num" w:pos="2655"/>
        </w:tabs>
        <w:ind w:left="2655" w:hanging="360"/>
      </w:pPr>
      <w:rPr>
        <w:rFonts w:ascii="Courier New" w:hAnsi="Courier New" w:hint="default"/>
      </w:rPr>
    </w:lvl>
    <w:lvl w:ilvl="2" w:tplc="040A0005">
      <w:start w:val="1"/>
      <w:numFmt w:val="bullet"/>
      <w:lvlText w:val=""/>
      <w:lvlJc w:val="left"/>
      <w:pPr>
        <w:tabs>
          <w:tab w:val="num" w:pos="3375"/>
        </w:tabs>
        <w:ind w:left="3375" w:hanging="360"/>
      </w:pPr>
      <w:rPr>
        <w:rFonts w:ascii="Wingdings" w:hAnsi="Wingdings" w:hint="default"/>
      </w:rPr>
    </w:lvl>
    <w:lvl w:ilvl="3" w:tplc="040A0001">
      <w:start w:val="1"/>
      <w:numFmt w:val="bullet"/>
      <w:lvlText w:val=""/>
      <w:lvlJc w:val="left"/>
      <w:pPr>
        <w:tabs>
          <w:tab w:val="num" w:pos="4095"/>
        </w:tabs>
        <w:ind w:left="4095" w:hanging="360"/>
      </w:pPr>
      <w:rPr>
        <w:rFonts w:ascii="Symbol" w:hAnsi="Symbol" w:hint="default"/>
      </w:rPr>
    </w:lvl>
    <w:lvl w:ilvl="4" w:tplc="040A0003">
      <w:start w:val="1"/>
      <w:numFmt w:val="bullet"/>
      <w:lvlText w:val="o"/>
      <w:lvlJc w:val="left"/>
      <w:pPr>
        <w:tabs>
          <w:tab w:val="num" w:pos="4815"/>
        </w:tabs>
        <w:ind w:left="4815" w:hanging="360"/>
      </w:pPr>
      <w:rPr>
        <w:rFonts w:ascii="Courier New" w:hAnsi="Courier New" w:hint="default"/>
      </w:rPr>
    </w:lvl>
    <w:lvl w:ilvl="5" w:tplc="040A0005">
      <w:start w:val="1"/>
      <w:numFmt w:val="bullet"/>
      <w:lvlText w:val=""/>
      <w:lvlJc w:val="left"/>
      <w:pPr>
        <w:tabs>
          <w:tab w:val="num" w:pos="5535"/>
        </w:tabs>
        <w:ind w:left="5535" w:hanging="360"/>
      </w:pPr>
      <w:rPr>
        <w:rFonts w:ascii="Wingdings" w:hAnsi="Wingdings" w:hint="default"/>
      </w:rPr>
    </w:lvl>
    <w:lvl w:ilvl="6" w:tplc="040A0001">
      <w:start w:val="1"/>
      <w:numFmt w:val="bullet"/>
      <w:lvlText w:val=""/>
      <w:lvlJc w:val="left"/>
      <w:pPr>
        <w:tabs>
          <w:tab w:val="num" w:pos="6255"/>
        </w:tabs>
        <w:ind w:left="6255" w:hanging="360"/>
      </w:pPr>
      <w:rPr>
        <w:rFonts w:ascii="Symbol" w:hAnsi="Symbol" w:hint="default"/>
      </w:rPr>
    </w:lvl>
    <w:lvl w:ilvl="7" w:tplc="040A0003">
      <w:start w:val="1"/>
      <w:numFmt w:val="bullet"/>
      <w:lvlText w:val="o"/>
      <w:lvlJc w:val="left"/>
      <w:pPr>
        <w:tabs>
          <w:tab w:val="num" w:pos="6975"/>
        </w:tabs>
        <w:ind w:left="6975" w:hanging="360"/>
      </w:pPr>
      <w:rPr>
        <w:rFonts w:ascii="Courier New" w:hAnsi="Courier New" w:hint="default"/>
      </w:rPr>
    </w:lvl>
    <w:lvl w:ilvl="8" w:tplc="040A0005">
      <w:start w:val="1"/>
      <w:numFmt w:val="bullet"/>
      <w:lvlText w:val=""/>
      <w:lvlJc w:val="left"/>
      <w:pPr>
        <w:tabs>
          <w:tab w:val="num" w:pos="7695"/>
        </w:tabs>
        <w:ind w:left="7695"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rsids>
    <w:rsidRoot w:val="00537A33"/>
    <w:rsid w:val="00032385"/>
    <w:rsid w:val="00041B68"/>
    <w:rsid w:val="00054C6C"/>
    <w:rsid w:val="00055C50"/>
    <w:rsid w:val="00061075"/>
    <w:rsid w:val="00064EBF"/>
    <w:rsid w:val="00077C61"/>
    <w:rsid w:val="000A4ECF"/>
    <w:rsid w:val="000B5687"/>
    <w:rsid w:val="000D1ADB"/>
    <w:rsid w:val="000D3563"/>
    <w:rsid w:val="00106BB2"/>
    <w:rsid w:val="0011471C"/>
    <w:rsid w:val="001328DF"/>
    <w:rsid w:val="001345EE"/>
    <w:rsid w:val="00160E84"/>
    <w:rsid w:val="0017572A"/>
    <w:rsid w:val="001824D1"/>
    <w:rsid w:val="001C0914"/>
    <w:rsid w:val="001D1C6D"/>
    <w:rsid w:val="001D3422"/>
    <w:rsid w:val="001E4C27"/>
    <w:rsid w:val="001E736C"/>
    <w:rsid w:val="00200AE5"/>
    <w:rsid w:val="002132ED"/>
    <w:rsid w:val="00253156"/>
    <w:rsid w:val="00255CEA"/>
    <w:rsid w:val="00276F5F"/>
    <w:rsid w:val="002E396C"/>
    <w:rsid w:val="002E4D7C"/>
    <w:rsid w:val="00335348"/>
    <w:rsid w:val="003366E6"/>
    <w:rsid w:val="003409F0"/>
    <w:rsid w:val="00340C07"/>
    <w:rsid w:val="003672EC"/>
    <w:rsid w:val="0038744B"/>
    <w:rsid w:val="003B03BE"/>
    <w:rsid w:val="003C39B6"/>
    <w:rsid w:val="003D15A0"/>
    <w:rsid w:val="003E19D3"/>
    <w:rsid w:val="003E3B94"/>
    <w:rsid w:val="003E60F2"/>
    <w:rsid w:val="003F4609"/>
    <w:rsid w:val="003F5538"/>
    <w:rsid w:val="00402721"/>
    <w:rsid w:val="00407906"/>
    <w:rsid w:val="00414089"/>
    <w:rsid w:val="00424AA1"/>
    <w:rsid w:val="00451EE2"/>
    <w:rsid w:val="0045254E"/>
    <w:rsid w:val="00453FAE"/>
    <w:rsid w:val="0046019D"/>
    <w:rsid w:val="00460F8E"/>
    <w:rsid w:val="00463A7C"/>
    <w:rsid w:val="00465F84"/>
    <w:rsid w:val="00467265"/>
    <w:rsid w:val="00482D00"/>
    <w:rsid w:val="00493F57"/>
    <w:rsid w:val="004A50E3"/>
    <w:rsid w:val="004D341C"/>
    <w:rsid w:val="004D3DF6"/>
    <w:rsid w:val="004E7124"/>
    <w:rsid w:val="004E7833"/>
    <w:rsid w:val="004F31C6"/>
    <w:rsid w:val="005002CF"/>
    <w:rsid w:val="005304C3"/>
    <w:rsid w:val="00532780"/>
    <w:rsid w:val="00537A33"/>
    <w:rsid w:val="00570F57"/>
    <w:rsid w:val="00576240"/>
    <w:rsid w:val="00593A1A"/>
    <w:rsid w:val="005C265B"/>
    <w:rsid w:val="005C5D59"/>
    <w:rsid w:val="005C7FB2"/>
    <w:rsid w:val="005D1AE4"/>
    <w:rsid w:val="005D604A"/>
    <w:rsid w:val="005F0467"/>
    <w:rsid w:val="006101C7"/>
    <w:rsid w:val="00612849"/>
    <w:rsid w:val="00613039"/>
    <w:rsid w:val="006309DF"/>
    <w:rsid w:val="0063248B"/>
    <w:rsid w:val="00643C6A"/>
    <w:rsid w:val="00644B0D"/>
    <w:rsid w:val="00663B67"/>
    <w:rsid w:val="00681EB4"/>
    <w:rsid w:val="006824FC"/>
    <w:rsid w:val="00690512"/>
    <w:rsid w:val="006C3F89"/>
    <w:rsid w:val="006C4889"/>
    <w:rsid w:val="006E31BA"/>
    <w:rsid w:val="006F2417"/>
    <w:rsid w:val="006F3021"/>
    <w:rsid w:val="006F50B0"/>
    <w:rsid w:val="006F5E81"/>
    <w:rsid w:val="00705597"/>
    <w:rsid w:val="00710868"/>
    <w:rsid w:val="00715A4A"/>
    <w:rsid w:val="00721675"/>
    <w:rsid w:val="00730B27"/>
    <w:rsid w:val="00734600"/>
    <w:rsid w:val="00740763"/>
    <w:rsid w:val="00741906"/>
    <w:rsid w:val="007454C4"/>
    <w:rsid w:val="00772334"/>
    <w:rsid w:val="00772E9B"/>
    <w:rsid w:val="00772FE6"/>
    <w:rsid w:val="0077490D"/>
    <w:rsid w:val="00782223"/>
    <w:rsid w:val="007A6C2A"/>
    <w:rsid w:val="007A7BE1"/>
    <w:rsid w:val="007F4598"/>
    <w:rsid w:val="008006A6"/>
    <w:rsid w:val="00805BD3"/>
    <w:rsid w:val="00816409"/>
    <w:rsid w:val="0082482D"/>
    <w:rsid w:val="00826DC6"/>
    <w:rsid w:val="008332EE"/>
    <w:rsid w:val="008377A1"/>
    <w:rsid w:val="00840394"/>
    <w:rsid w:val="0086026E"/>
    <w:rsid w:val="0087463B"/>
    <w:rsid w:val="00890075"/>
    <w:rsid w:val="008C3534"/>
    <w:rsid w:val="008E4225"/>
    <w:rsid w:val="008F4DA3"/>
    <w:rsid w:val="008F7914"/>
    <w:rsid w:val="00922917"/>
    <w:rsid w:val="0092667A"/>
    <w:rsid w:val="00940CD3"/>
    <w:rsid w:val="009445BF"/>
    <w:rsid w:val="009A2075"/>
    <w:rsid w:val="009A38B7"/>
    <w:rsid w:val="009A4828"/>
    <w:rsid w:val="009A6411"/>
    <w:rsid w:val="009A7F7F"/>
    <w:rsid w:val="009B2398"/>
    <w:rsid w:val="009C0A9F"/>
    <w:rsid w:val="009D015D"/>
    <w:rsid w:val="009D062B"/>
    <w:rsid w:val="009D387B"/>
    <w:rsid w:val="009D460C"/>
    <w:rsid w:val="009D5E63"/>
    <w:rsid w:val="009F03D5"/>
    <w:rsid w:val="00A247CD"/>
    <w:rsid w:val="00A53BD1"/>
    <w:rsid w:val="00A654CE"/>
    <w:rsid w:val="00A70829"/>
    <w:rsid w:val="00A71DA4"/>
    <w:rsid w:val="00AE7C17"/>
    <w:rsid w:val="00B2130F"/>
    <w:rsid w:val="00B926F9"/>
    <w:rsid w:val="00BA67FA"/>
    <w:rsid w:val="00BA748E"/>
    <w:rsid w:val="00BB0971"/>
    <w:rsid w:val="00BB7548"/>
    <w:rsid w:val="00BC2078"/>
    <w:rsid w:val="00BC2B4C"/>
    <w:rsid w:val="00BC303D"/>
    <w:rsid w:val="00BC65A1"/>
    <w:rsid w:val="00BD73DE"/>
    <w:rsid w:val="00BE03D2"/>
    <w:rsid w:val="00BE7176"/>
    <w:rsid w:val="00C16418"/>
    <w:rsid w:val="00C24CD7"/>
    <w:rsid w:val="00C2564F"/>
    <w:rsid w:val="00C35C3B"/>
    <w:rsid w:val="00C41490"/>
    <w:rsid w:val="00C6399D"/>
    <w:rsid w:val="00C83EF6"/>
    <w:rsid w:val="00CA565A"/>
    <w:rsid w:val="00CB49C6"/>
    <w:rsid w:val="00CC32EB"/>
    <w:rsid w:val="00D01D35"/>
    <w:rsid w:val="00D028DA"/>
    <w:rsid w:val="00D05F89"/>
    <w:rsid w:val="00D11FE2"/>
    <w:rsid w:val="00D20997"/>
    <w:rsid w:val="00D21000"/>
    <w:rsid w:val="00D26AAF"/>
    <w:rsid w:val="00D43B51"/>
    <w:rsid w:val="00D95644"/>
    <w:rsid w:val="00DA57A0"/>
    <w:rsid w:val="00DB3626"/>
    <w:rsid w:val="00DB4D57"/>
    <w:rsid w:val="00DB791D"/>
    <w:rsid w:val="00DC2CB5"/>
    <w:rsid w:val="00DD043E"/>
    <w:rsid w:val="00DD555A"/>
    <w:rsid w:val="00DF7C13"/>
    <w:rsid w:val="00E01694"/>
    <w:rsid w:val="00E15B95"/>
    <w:rsid w:val="00E16034"/>
    <w:rsid w:val="00E17FF2"/>
    <w:rsid w:val="00E210FD"/>
    <w:rsid w:val="00E33379"/>
    <w:rsid w:val="00E35519"/>
    <w:rsid w:val="00E40F26"/>
    <w:rsid w:val="00E461F4"/>
    <w:rsid w:val="00E66203"/>
    <w:rsid w:val="00E8008A"/>
    <w:rsid w:val="00EA4CCE"/>
    <w:rsid w:val="00EC5B39"/>
    <w:rsid w:val="00EC7371"/>
    <w:rsid w:val="00EF5D25"/>
    <w:rsid w:val="00F077CE"/>
    <w:rsid w:val="00F10F0F"/>
    <w:rsid w:val="00F13D9C"/>
    <w:rsid w:val="00F20A79"/>
    <w:rsid w:val="00F20BA4"/>
    <w:rsid w:val="00F21C08"/>
    <w:rsid w:val="00F24ED7"/>
    <w:rsid w:val="00F25773"/>
    <w:rsid w:val="00F31C7D"/>
    <w:rsid w:val="00F32458"/>
    <w:rsid w:val="00F51A96"/>
    <w:rsid w:val="00F643FD"/>
    <w:rsid w:val="00F71160"/>
    <w:rsid w:val="00F84348"/>
    <w:rsid w:val="00FA6C61"/>
    <w:rsid w:val="00FC3D3C"/>
    <w:rsid w:val="00FC6CF5"/>
    <w:rsid w:val="00FC7C6E"/>
    <w:rsid w:val="00FD4B55"/>
    <w:rsid w:val="00FF0AC6"/>
    <w:rsid w:val="00FF0C0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2A"/>
    <w:pPr>
      <w:spacing w:after="200"/>
    </w:pPr>
    <w:rPr>
      <w:rFonts w:cs="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7A33"/>
    <w:pPr>
      <w:tabs>
        <w:tab w:val="center" w:pos="4419"/>
        <w:tab w:val="right" w:pos="8838"/>
      </w:tabs>
      <w:spacing w:after="0"/>
    </w:pPr>
  </w:style>
  <w:style w:type="character" w:customStyle="1" w:styleId="EncabezadoCar">
    <w:name w:val="Encabezado Car"/>
    <w:basedOn w:val="Fuentedeprrafopredeter"/>
    <w:link w:val="Encabezado"/>
    <w:uiPriority w:val="99"/>
    <w:locked/>
    <w:rsid w:val="00537A33"/>
    <w:rPr>
      <w:rFonts w:cs="Times New Roman"/>
    </w:rPr>
  </w:style>
  <w:style w:type="paragraph" w:styleId="Piedepgina">
    <w:name w:val="footer"/>
    <w:basedOn w:val="Normal"/>
    <w:link w:val="PiedepginaCar"/>
    <w:uiPriority w:val="99"/>
    <w:rsid w:val="00537A33"/>
    <w:pPr>
      <w:tabs>
        <w:tab w:val="center" w:pos="4419"/>
        <w:tab w:val="right" w:pos="8838"/>
      </w:tabs>
      <w:spacing w:after="0"/>
    </w:pPr>
  </w:style>
  <w:style w:type="character" w:customStyle="1" w:styleId="PiedepginaCar">
    <w:name w:val="Pie de página Car"/>
    <w:basedOn w:val="Fuentedeprrafopredeter"/>
    <w:link w:val="Piedepgina"/>
    <w:uiPriority w:val="99"/>
    <w:locked/>
    <w:rsid w:val="00537A33"/>
    <w:rPr>
      <w:rFonts w:cs="Times New Roman"/>
    </w:rPr>
  </w:style>
  <w:style w:type="paragraph" w:customStyle="1" w:styleId="Prrafodelista1">
    <w:name w:val="Párrafo de lista1"/>
    <w:basedOn w:val="Normal"/>
    <w:uiPriority w:val="99"/>
    <w:rsid w:val="005D604A"/>
    <w:pPr>
      <w:spacing w:line="276" w:lineRule="auto"/>
      <w:ind w:left="720"/>
    </w:pPr>
    <w:rPr>
      <w:rFonts w:ascii="Calibri" w:eastAsia="Times New Roman" w:hAnsi="Calibri" w:cs="Calibri"/>
      <w:sz w:val="22"/>
      <w:szCs w:val="22"/>
    </w:rPr>
  </w:style>
  <w:style w:type="character" w:styleId="Hipervnculo">
    <w:name w:val="Hyperlink"/>
    <w:basedOn w:val="Fuentedeprrafopredeter"/>
    <w:uiPriority w:val="99"/>
    <w:rsid w:val="00840394"/>
    <w:rPr>
      <w:rFonts w:cs="Times New Roman"/>
      <w:color w:val="0000FF"/>
      <w:u w:val="single"/>
    </w:rPr>
  </w:style>
  <w:style w:type="paragraph" w:styleId="NormalWeb">
    <w:name w:val="Normal (Web)"/>
    <w:basedOn w:val="Normal"/>
    <w:uiPriority w:val="99"/>
    <w:rsid w:val="00612849"/>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rsid w:val="0046726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67265"/>
    <w:rPr>
      <w:rFonts w:ascii="Tahoma" w:hAnsi="Tahoma" w:cs="Tahoma"/>
      <w:sz w:val="16"/>
      <w:szCs w:val="16"/>
    </w:rPr>
  </w:style>
  <w:style w:type="paragraph" w:customStyle="1" w:styleId="Prrafodelista2">
    <w:name w:val="Párrafo de lista2"/>
    <w:basedOn w:val="Normal"/>
    <w:uiPriority w:val="99"/>
    <w:rsid w:val="00F25773"/>
    <w:pPr>
      <w:spacing w:line="276" w:lineRule="auto"/>
      <w:ind w:left="720"/>
      <w:contextualSpacing/>
    </w:pPr>
    <w:rPr>
      <w:rFonts w:ascii="Calibri" w:eastAsia="Times New Roman" w:hAnsi="Calibri" w:cs="Times New Roman"/>
      <w:sz w:val="22"/>
      <w:szCs w:val="22"/>
    </w:rPr>
  </w:style>
  <w:style w:type="paragraph" w:customStyle="1" w:styleId="NormalArial">
    <w:name w:val="Normal + Arial"/>
    <w:basedOn w:val="Normal"/>
    <w:link w:val="NormalArialCar"/>
    <w:rsid w:val="00F71160"/>
    <w:pPr>
      <w:tabs>
        <w:tab w:val="num" w:pos="360"/>
      </w:tabs>
      <w:spacing w:after="0"/>
      <w:ind w:left="360" w:hanging="360"/>
      <w:jc w:val="both"/>
    </w:pPr>
    <w:rPr>
      <w:rFonts w:ascii="Times New Roman" w:eastAsia="Times New Roman" w:hAnsi="Times New Roman" w:cs="Times New Roman"/>
      <w:lang w:val="es-ES" w:eastAsia="es-ES"/>
    </w:rPr>
  </w:style>
  <w:style w:type="character" w:customStyle="1" w:styleId="NormalArialCar">
    <w:name w:val="Normal + Arial Car"/>
    <w:basedOn w:val="Fuentedeprrafopredeter"/>
    <w:link w:val="NormalArial"/>
    <w:rsid w:val="00F71160"/>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3E0B-6EB5-4477-9AE9-547BD102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Pages>
  <Words>3726</Words>
  <Characters>20497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“VIVE LIBRE”</vt:lpstr>
    </vt:vector>
  </TitlesOfParts>
  <Company>Windows uE</Company>
  <LinksUpToDate>false</LinksUpToDate>
  <CharactersWithSpaces>24175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 LIBRE”</dc:title>
  <dc:creator>WinuE</dc:creator>
  <cp:lastModifiedBy>ISJ</cp:lastModifiedBy>
  <cp:revision>19</cp:revision>
  <cp:lastPrinted>2011-06-29T17:39:00Z</cp:lastPrinted>
  <dcterms:created xsi:type="dcterms:W3CDTF">2011-06-24T17:36:00Z</dcterms:created>
  <dcterms:modified xsi:type="dcterms:W3CDTF">2011-06-29T17:41:00Z</dcterms:modified>
</cp:coreProperties>
</file>