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34" w:rsidRPr="005F3445" w:rsidRDefault="00707579" w:rsidP="001053CE">
      <w:pPr>
        <w:pStyle w:val="Sinespaciado"/>
        <w:rPr>
          <w:rFonts w:ascii="Arial" w:hAnsi="Arial" w:cs="Arial"/>
          <w:sz w:val="20"/>
          <w:szCs w:val="20"/>
        </w:rPr>
      </w:pPr>
      <w:r>
        <w:rPr>
          <w:rFonts w:ascii="Arial" w:hAnsi="Arial" w:cs="Arial"/>
          <w:sz w:val="20"/>
          <w:szCs w:val="20"/>
        </w:rPr>
        <w:tab/>
      </w:r>
      <w:r w:rsidR="00AC66EF">
        <w:rPr>
          <w:rFonts w:ascii="Arial" w:hAnsi="Arial" w:cs="Arial"/>
          <w:sz w:val="20"/>
          <w:szCs w:val="20"/>
        </w:rPr>
        <w:tab/>
      </w:r>
    </w:p>
    <w:p w:rsidR="00214C34" w:rsidRPr="00581F1F" w:rsidRDefault="005F0379" w:rsidP="009306CB">
      <w:pPr>
        <w:pStyle w:val="Default"/>
        <w:jc w:val="both"/>
        <w:rPr>
          <w:sz w:val="20"/>
          <w:szCs w:val="20"/>
        </w:rPr>
      </w:pPr>
      <w:r w:rsidRPr="00581F1F">
        <w:rPr>
          <w:sz w:val="20"/>
          <w:szCs w:val="20"/>
        </w:rPr>
        <w:t xml:space="preserve">De conformidad al artículo 46, fracción I, inciso e) y 49 de la Ley General de Contabilidad Gubernamental, así como a la normatividad emitida por el Consejo Nacional de Armonización Contable, a continuación se presentan las notas a los estados financieros correspondientes al </w:t>
      </w:r>
      <w:r w:rsidR="00FF4B22">
        <w:rPr>
          <w:sz w:val="20"/>
          <w:szCs w:val="20"/>
        </w:rPr>
        <w:t>tercer</w:t>
      </w:r>
      <w:r w:rsidR="00FE34A1">
        <w:rPr>
          <w:sz w:val="20"/>
          <w:szCs w:val="20"/>
        </w:rPr>
        <w:t xml:space="preserve"> tr</w:t>
      </w:r>
      <w:r w:rsidR="00151D40">
        <w:rPr>
          <w:sz w:val="20"/>
          <w:szCs w:val="20"/>
        </w:rPr>
        <w:t>imestre de 20</w:t>
      </w:r>
      <w:r w:rsidR="00F63FF7">
        <w:rPr>
          <w:sz w:val="20"/>
          <w:szCs w:val="20"/>
        </w:rPr>
        <w:t>2</w:t>
      </w:r>
      <w:r w:rsidR="00A131C2">
        <w:rPr>
          <w:sz w:val="20"/>
          <w:szCs w:val="20"/>
        </w:rPr>
        <w:t>1</w:t>
      </w:r>
      <w:r w:rsidRPr="00581F1F">
        <w:rPr>
          <w:sz w:val="20"/>
          <w:szCs w:val="20"/>
        </w:rPr>
        <w:t>, con los siguientes apartados:</w:t>
      </w:r>
    </w:p>
    <w:p w:rsidR="005F0379" w:rsidRPr="00581F1F" w:rsidRDefault="005F0379" w:rsidP="00214C34">
      <w:pPr>
        <w:pStyle w:val="Default"/>
        <w:rPr>
          <w:sz w:val="20"/>
          <w:szCs w:val="20"/>
        </w:rPr>
      </w:pPr>
    </w:p>
    <w:p w:rsidR="005F0379" w:rsidRPr="00581F1F" w:rsidRDefault="005F0379" w:rsidP="00214C34">
      <w:pPr>
        <w:pStyle w:val="Default"/>
        <w:rPr>
          <w:sz w:val="20"/>
          <w:szCs w:val="20"/>
        </w:rPr>
      </w:pPr>
      <w:r w:rsidRPr="00581F1F">
        <w:rPr>
          <w:sz w:val="20"/>
          <w:szCs w:val="20"/>
        </w:rPr>
        <w:t>- Notas de Desglose</w:t>
      </w:r>
    </w:p>
    <w:p w:rsidR="005F0379" w:rsidRPr="00581F1F" w:rsidRDefault="005F0379" w:rsidP="00214C34">
      <w:pPr>
        <w:pStyle w:val="Default"/>
        <w:rPr>
          <w:sz w:val="20"/>
          <w:szCs w:val="20"/>
        </w:rPr>
      </w:pPr>
      <w:r w:rsidRPr="00581F1F">
        <w:rPr>
          <w:sz w:val="20"/>
          <w:szCs w:val="20"/>
        </w:rPr>
        <w:t>- Notas de Memoria</w:t>
      </w:r>
    </w:p>
    <w:p w:rsidR="005F0379" w:rsidRPr="00581F1F" w:rsidRDefault="005F0379" w:rsidP="0005541A">
      <w:pPr>
        <w:pStyle w:val="Default"/>
        <w:tabs>
          <w:tab w:val="left" w:pos="4764"/>
        </w:tabs>
        <w:rPr>
          <w:sz w:val="20"/>
          <w:szCs w:val="20"/>
        </w:rPr>
      </w:pPr>
      <w:r w:rsidRPr="00581F1F">
        <w:rPr>
          <w:sz w:val="20"/>
          <w:szCs w:val="20"/>
        </w:rPr>
        <w:t>- Notas de Gestión Administrativa</w:t>
      </w:r>
      <w:r w:rsidR="0005541A">
        <w:rPr>
          <w:sz w:val="20"/>
          <w:szCs w:val="20"/>
        </w:rPr>
        <w:tab/>
      </w:r>
    </w:p>
    <w:p w:rsidR="005F0379" w:rsidRPr="00581F1F" w:rsidRDefault="005F0379" w:rsidP="005F0379">
      <w:pPr>
        <w:pStyle w:val="Default"/>
        <w:rPr>
          <w:sz w:val="20"/>
          <w:szCs w:val="20"/>
        </w:rPr>
      </w:pPr>
    </w:p>
    <w:p w:rsidR="005F0379" w:rsidRPr="00581F1F" w:rsidRDefault="005F0379" w:rsidP="005F0379">
      <w:pPr>
        <w:pStyle w:val="Default"/>
        <w:numPr>
          <w:ilvl w:val="0"/>
          <w:numId w:val="24"/>
        </w:numPr>
        <w:rPr>
          <w:b/>
          <w:sz w:val="20"/>
          <w:szCs w:val="20"/>
        </w:rPr>
      </w:pPr>
      <w:r w:rsidRPr="00581F1F">
        <w:rPr>
          <w:b/>
          <w:sz w:val="20"/>
          <w:szCs w:val="20"/>
        </w:rPr>
        <w:t>Notas de Desglose</w:t>
      </w:r>
    </w:p>
    <w:p w:rsidR="005F0379" w:rsidRPr="00581F1F" w:rsidRDefault="005F0379" w:rsidP="005F0379">
      <w:pPr>
        <w:pStyle w:val="Default"/>
        <w:ind w:left="1080"/>
        <w:rPr>
          <w:b/>
          <w:sz w:val="20"/>
          <w:szCs w:val="20"/>
        </w:rPr>
      </w:pPr>
    </w:p>
    <w:p w:rsidR="005F0379" w:rsidRPr="00581F1F" w:rsidRDefault="005F0379" w:rsidP="005F0379">
      <w:pPr>
        <w:pStyle w:val="Default"/>
        <w:numPr>
          <w:ilvl w:val="0"/>
          <w:numId w:val="22"/>
        </w:numPr>
        <w:rPr>
          <w:b/>
          <w:sz w:val="20"/>
          <w:szCs w:val="20"/>
        </w:rPr>
      </w:pPr>
      <w:r w:rsidRPr="00581F1F">
        <w:rPr>
          <w:b/>
          <w:sz w:val="20"/>
          <w:szCs w:val="20"/>
        </w:rPr>
        <w:t>Notas al Estado de Situación Financiera</w:t>
      </w:r>
    </w:p>
    <w:p w:rsidR="005F0379" w:rsidRPr="00581F1F" w:rsidRDefault="005F0379" w:rsidP="005F0379">
      <w:pPr>
        <w:pStyle w:val="Default"/>
        <w:rPr>
          <w:b/>
          <w:sz w:val="20"/>
          <w:szCs w:val="20"/>
        </w:rPr>
      </w:pPr>
    </w:p>
    <w:p w:rsidR="005F0379" w:rsidRPr="00581F1F" w:rsidRDefault="005F0379" w:rsidP="005F0379">
      <w:pPr>
        <w:pStyle w:val="Default"/>
        <w:rPr>
          <w:b/>
          <w:sz w:val="20"/>
          <w:szCs w:val="20"/>
        </w:rPr>
      </w:pPr>
      <w:r w:rsidRPr="00581F1F">
        <w:rPr>
          <w:b/>
          <w:sz w:val="20"/>
          <w:szCs w:val="20"/>
        </w:rPr>
        <w:t>Activo</w:t>
      </w:r>
    </w:p>
    <w:p w:rsidR="005F0379" w:rsidRPr="00581F1F" w:rsidRDefault="005F0379" w:rsidP="005F0379">
      <w:pPr>
        <w:pStyle w:val="Default"/>
        <w:rPr>
          <w:b/>
          <w:sz w:val="20"/>
          <w:szCs w:val="20"/>
        </w:rPr>
      </w:pPr>
    </w:p>
    <w:p w:rsidR="005F0379" w:rsidRPr="00581F1F" w:rsidRDefault="005F0379" w:rsidP="005F0379">
      <w:pPr>
        <w:pStyle w:val="Default"/>
        <w:numPr>
          <w:ilvl w:val="0"/>
          <w:numId w:val="25"/>
        </w:numPr>
        <w:rPr>
          <w:b/>
          <w:sz w:val="20"/>
          <w:szCs w:val="20"/>
          <w:u w:val="single"/>
        </w:rPr>
      </w:pPr>
      <w:r w:rsidRPr="00581F1F">
        <w:rPr>
          <w:b/>
          <w:sz w:val="20"/>
          <w:szCs w:val="20"/>
          <w:u w:val="single"/>
        </w:rPr>
        <w:t>Efectivo y equivalentes</w:t>
      </w:r>
    </w:p>
    <w:p w:rsidR="005F0379" w:rsidRPr="00581F1F" w:rsidRDefault="005F0379" w:rsidP="009306CB">
      <w:pPr>
        <w:pStyle w:val="Default"/>
        <w:jc w:val="both"/>
        <w:rPr>
          <w:sz w:val="20"/>
          <w:szCs w:val="20"/>
        </w:rPr>
      </w:pPr>
      <w:r w:rsidRPr="00581F1F">
        <w:rPr>
          <w:sz w:val="20"/>
          <w:szCs w:val="20"/>
        </w:rPr>
        <w:t xml:space="preserve">Este rubro se integra de la siguiente manera al </w:t>
      </w:r>
      <w:r w:rsidR="00AC66EF">
        <w:rPr>
          <w:sz w:val="20"/>
          <w:szCs w:val="20"/>
        </w:rPr>
        <w:t>3</w:t>
      </w:r>
      <w:r w:rsidR="005C43E0">
        <w:rPr>
          <w:sz w:val="20"/>
          <w:szCs w:val="20"/>
        </w:rPr>
        <w:t>1</w:t>
      </w:r>
      <w:r w:rsidRPr="00581F1F">
        <w:rPr>
          <w:sz w:val="20"/>
          <w:szCs w:val="20"/>
        </w:rPr>
        <w:t xml:space="preserve"> de </w:t>
      </w:r>
      <w:r w:rsidR="005C43E0">
        <w:rPr>
          <w:sz w:val="20"/>
          <w:szCs w:val="20"/>
        </w:rPr>
        <w:t>diciembre</w:t>
      </w:r>
      <w:r w:rsidRPr="00581F1F">
        <w:rPr>
          <w:sz w:val="20"/>
          <w:szCs w:val="20"/>
        </w:rPr>
        <w:t xml:space="preserve"> de 20</w:t>
      </w:r>
      <w:r w:rsidR="00F63FF7">
        <w:rPr>
          <w:sz w:val="20"/>
          <w:szCs w:val="20"/>
        </w:rPr>
        <w:t>20</w:t>
      </w:r>
      <w:r w:rsidRPr="00581F1F">
        <w:rPr>
          <w:sz w:val="20"/>
          <w:szCs w:val="20"/>
        </w:rPr>
        <w:t xml:space="preserve"> y </w:t>
      </w:r>
      <w:r w:rsidR="006E4CA2" w:rsidRPr="00581F1F">
        <w:rPr>
          <w:sz w:val="20"/>
          <w:szCs w:val="20"/>
        </w:rPr>
        <w:t>3</w:t>
      </w:r>
      <w:r w:rsidR="00FF4B22">
        <w:rPr>
          <w:sz w:val="20"/>
          <w:szCs w:val="20"/>
        </w:rPr>
        <w:t>0</w:t>
      </w:r>
      <w:r w:rsidR="006E4CA2" w:rsidRPr="00581F1F">
        <w:rPr>
          <w:sz w:val="20"/>
          <w:szCs w:val="20"/>
        </w:rPr>
        <w:t xml:space="preserve"> de </w:t>
      </w:r>
      <w:r w:rsidR="00FF4B22">
        <w:rPr>
          <w:sz w:val="20"/>
          <w:szCs w:val="20"/>
        </w:rPr>
        <w:t>septiembre</w:t>
      </w:r>
      <w:r w:rsidR="006E4CA2" w:rsidRPr="00581F1F">
        <w:rPr>
          <w:sz w:val="20"/>
          <w:szCs w:val="20"/>
        </w:rPr>
        <w:t xml:space="preserve"> de </w:t>
      </w:r>
      <w:r w:rsidRPr="00581F1F">
        <w:rPr>
          <w:sz w:val="20"/>
          <w:szCs w:val="20"/>
        </w:rPr>
        <w:t>20</w:t>
      </w:r>
      <w:r w:rsidR="00A11AE1">
        <w:rPr>
          <w:sz w:val="20"/>
          <w:szCs w:val="20"/>
        </w:rPr>
        <w:t>21</w:t>
      </w:r>
      <w:r w:rsidRPr="00581F1F">
        <w:rPr>
          <w:sz w:val="20"/>
          <w:szCs w:val="20"/>
        </w:rPr>
        <w:t>:</w:t>
      </w:r>
    </w:p>
    <w:p w:rsidR="005F0379" w:rsidRPr="00581F1F" w:rsidRDefault="005F0379" w:rsidP="005F0379">
      <w:pPr>
        <w:pStyle w:val="Default"/>
        <w:ind w:left="360"/>
        <w:rPr>
          <w:sz w:val="20"/>
          <w:szCs w:val="20"/>
        </w:rPr>
      </w:pPr>
    </w:p>
    <w:tbl>
      <w:tblPr>
        <w:tblW w:w="0" w:type="auto"/>
        <w:tblCellMar>
          <w:left w:w="70" w:type="dxa"/>
          <w:right w:w="70" w:type="dxa"/>
        </w:tblCellMar>
        <w:tblLook w:val="04A0" w:firstRow="1" w:lastRow="0" w:firstColumn="1" w:lastColumn="0" w:noHBand="0" w:noVBand="1"/>
      </w:tblPr>
      <w:tblGrid>
        <w:gridCol w:w="1166"/>
        <w:gridCol w:w="869"/>
        <w:gridCol w:w="173"/>
        <w:gridCol w:w="146"/>
        <w:gridCol w:w="1375"/>
        <w:gridCol w:w="146"/>
        <w:gridCol w:w="1597"/>
      </w:tblGrid>
      <w:tr w:rsidR="005F0379" w:rsidRPr="00581F1F" w:rsidTr="009D65E6">
        <w:trPr>
          <w:trHeight w:val="300"/>
        </w:trPr>
        <w:tc>
          <w:tcPr>
            <w:tcW w:w="0" w:type="auto"/>
            <w:tcBorders>
              <w:top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A11AE1">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F63FF7">
              <w:rPr>
                <w:rFonts w:ascii="Arial" w:hAnsi="Arial" w:cs="Arial"/>
                <w:b/>
                <w:bCs/>
                <w:color w:val="000000"/>
                <w:sz w:val="20"/>
                <w:szCs w:val="20"/>
                <w:u w:val="single"/>
                <w:lang w:val="es-MX" w:eastAsia="es-MX"/>
              </w:rPr>
              <w:t>2</w:t>
            </w:r>
            <w:r w:rsidR="00A11AE1">
              <w:rPr>
                <w:rFonts w:ascii="Arial" w:hAnsi="Arial" w:cs="Arial"/>
                <w:b/>
                <w:bCs/>
                <w:color w:val="000000"/>
                <w:sz w:val="20"/>
                <w:szCs w:val="20"/>
                <w:u w:val="single"/>
                <w:lang w:val="es-MX" w:eastAsia="es-MX"/>
              </w:rPr>
              <w:t>1</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A131C2">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A131C2">
              <w:rPr>
                <w:rFonts w:ascii="Arial" w:hAnsi="Arial" w:cs="Arial"/>
                <w:b/>
                <w:bCs/>
                <w:color w:val="000000"/>
                <w:sz w:val="20"/>
                <w:szCs w:val="20"/>
                <w:u w:val="single"/>
                <w:lang w:val="es-MX" w:eastAsia="es-MX"/>
              </w:rPr>
              <w:t>20</w:t>
            </w:r>
          </w:p>
        </w:tc>
      </w:tr>
      <w:tr w:rsidR="005F0379" w:rsidRPr="00581F1F" w:rsidTr="009D65E6">
        <w:trPr>
          <w:trHeight w:val="285"/>
        </w:trPr>
        <w:tc>
          <w:tcPr>
            <w:tcW w:w="0" w:type="auto"/>
            <w:tcBorders>
              <w:top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r>
      <w:tr w:rsidR="005F0379" w:rsidRPr="00581F1F" w:rsidTr="009D65E6">
        <w:trPr>
          <w:trHeight w:val="285"/>
        </w:trPr>
        <w:tc>
          <w:tcPr>
            <w:tcW w:w="0" w:type="auto"/>
            <w:gridSpan w:val="2"/>
            <w:tcBorders>
              <w:top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r w:rsidRPr="00581F1F">
              <w:rPr>
                <w:rFonts w:ascii="Arial" w:hAnsi="Arial" w:cs="Arial"/>
                <w:color w:val="000000"/>
                <w:sz w:val="20"/>
                <w:szCs w:val="20"/>
                <w:lang w:val="es-MX" w:eastAsia="es-MX"/>
              </w:rPr>
              <w:t>Bancos/Tesorería</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6E4C7E" w:rsidP="00FF4B2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FF4B22">
              <w:rPr>
                <w:rFonts w:ascii="Arial" w:hAnsi="Arial" w:cs="Arial"/>
                <w:color w:val="000000"/>
                <w:sz w:val="20"/>
                <w:szCs w:val="20"/>
                <w:lang w:val="es-MX" w:eastAsia="es-MX"/>
              </w:rPr>
              <w:t>3</w:t>
            </w:r>
            <w:r w:rsidR="006870C9">
              <w:rPr>
                <w:rFonts w:ascii="Arial" w:hAnsi="Arial" w:cs="Arial"/>
                <w:color w:val="000000"/>
                <w:sz w:val="20"/>
                <w:szCs w:val="20"/>
                <w:lang w:val="es-MX" w:eastAsia="es-MX"/>
              </w:rPr>
              <w:t>15,</w:t>
            </w:r>
            <w:r w:rsidR="00FF4B22">
              <w:rPr>
                <w:rFonts w:ascii="Arial" w:hAnsi="Arial" w:cs="Arial"/>
                <w:color w:val="000000"/>
                <w:sz w:val="20"/>
                <w:szCs w:val="20"/>
                <w:lang w:val="es-MX" w:eastAsia="es-MX"/>
              </w:rPr>
              <w:t>935</w:t>
            </w:r>
            <w:r w:rsidR="00504EE2" w:rsidRPr="00581F1F">
              <w:rPr>
                <w:rFonts w:ascii="Arial" w:hAnsi="Arial" w:cs="Arial"/>
                <w:color w:val="000000"/>
                <w:sz w:val="20"/>
                <w:szCs w:val="20"/>
                <w:lang w:val="es-MX" w:eastAsia="es-MX"/>
              </w:rPr>
              <w:t xml:space="preserve"> </w:t>
            </w:r>
            <w:r w:rsidR="005F0379"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16350B" w:rsidP="00A131C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A131C2">
              <w:rPr>
                <w:rFonts w:ascii="Arial" w:hAnsi="Arial" w:cs="Arial"/>
                <w:color w:val="000000"/>
                <w:sz w:val="20"/>
                <w:szCs w:val="20"/>
                <w:lang w:val="es-MX" w:eastAsia="es-MX"/>
              </w:rPr>
              <w:t>345</w:t>
            </w:r>
            <w:r w:rsidR="00504EE2" w:rsidRPr="00581F1F">
              <w:rPr>
                <w:rFonts w:ascii="Arial" w:hAnsi="Arial" w:cs="Arial"/>
                <w:color w:val="000000"/>
                <w:sz w:val="20"/>
                <w:szCs w:val="20"/>
                <w:lang w:val="es-MX" w:eastAsia="es-MX"/>
              </w:rPr>
              <w:t>,</w:t>
            </w:r>
            <w:r w:rsidR="00A131C2">
              <w:rPr>
                <w:rFonts w:ascii="Arial" w:hAnsi="Arial" w:cs="Arial"/>
                <w:color w:val="000000"/>
                <w:sz w:val="20"/>
                <w:szCs w:val="20"/>
                <w:lang w:val="es-MX" w:eastAsia="es-MX"/>
              </w:rPr>
              <w:t>135</w:t>
            </w:r>
            <w:r w:rsidR="005F0379" w:rsidRPr="00581F1F">
              <w:rPr>
                <w:rFonts w:ascii="Arial" w:hAnsi="Arial" w:cs="Arial"/>
                <w:color w:val="000000"/>
                <w:sz w:val="20"/>
                <w:szCs w:val="20"/>
                <w:lang w:val="es-MX" w:eastAsia="es-MX"/>
              </w:rPr>
              <w:t xml:space="preserve"> </w:t>
            </w:r>
          </w:p>
        </w:tc>
      </w:tr>
      <w:tr w:rsidR="002B3714" w:rsidRPr="00581F1F" w:rsidTr="002012CB">
        <w:trPr>
          <w:trHeight w:val="285"/>
        </w:trPr>
        <w:tc>
          <w:tcPr>
            <w:tcW w:w="0" w:type="auto"/>
            <w:gridSpan w:val="3"/>
            <w:tcBorders>
              <w:top w:val="nil"/>
              <w:bottom w:val="nil"/>
              <w:right w:val="nil"/>
            </w:tcBorders>
            <w:shd w:val="clear" w:color="auto" w:fill="auto"/>
            <w:noWrap/>
            <w:vAlign w:val="bottom"/>
          </w:tcPr>
          <w:p w:rsidR="002B3714" w:rsidRPr="00581F1F" w:rsidRDefault="002B3714" w:rsidP="002012CB">
            <w:pPr>
              <w:rPr>
                <w:rFonts w:ascii="Arial" w:hAnsi="Arial" w:cs="Arial"/>
                <w:color w:val="000000"/>
                <w:sz w:val="20"/>
                <w:szCs w:val="20"/>
                <w:lang w:val="es-MX" w:eastAsia="es-MX"/>
              </w:rPr>
            </w:pPr>
            <w:r>
              <w:rPr>
                <w:rFonts w:ascii="Arial" w:hAnsi="Arial" w:cs="Arial"/>
                <w:color w:val="000000"/>
                <w:sz w:val="20"/>
                <w:szCs w:val="20"/>
                <w:lang w:val="es-MX" w:eastAsia="es-MX"/>
              </w:rPr>
              <w:t>Inversiones temporales</w:t>
            </w:r>
          </w:p>
        </w:tc>
        <w:tc>
          <w:tcPr>
            <w:tcW w:w="0" w:type="auto"/>
            <w:tcBorders>
              <w:top w:val="nil"/>
              <w:left w:val="nil"/>
              <w:bottom w:val="nil"/>
              <w:right w:val="nil"/>
            </w:tcBorders>
            <w:shd w:val="clear" w:color="auto" w:fill="auto"/>
            <w:noWrap/>
            <w:vAlign w:val="bottom"/>
          </w:tcPr>
          <w:p w:rsidR="002B3714" w:rsidRPr="00581F1F" w:rsidRDefault="002B3714" w:rsidP="002012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2B3714" w:rsidRPr="00581F1F" w:rsidRDefault="00FF4B22" w:rsidP="00FF4B22">
            <w:pPr>
              <w:jc w:val="right"/>
              <w:rPr>
                <w:rFonts w:ascii="Arial" w:hAnsi="Arial" w:cs="Arial"/>
                <w:color w:val="000000"/>
                <w:sz w:val="20"/>
                <w:szCs w:val="20"/>
                <w:lang w:val="es-MX" w:eastAsia="es-MX"/>
              </w:rPr>
            </w:pPr>
            <w:r>
              <w:rPr>
                <w:rFonts w:ascii="Arial" w:hAnsi="Arial" w:cs="Arial"/>
                <w:color w:val="000000"/>
                <w:sz w:val="20"/>
                <w:szCs w:val="20"/>
                <w:lang w:val="es-MX" w:eastAsia="es-MX"/>
              </w:rPr>
              <w:t>71</w:t>
            </w:r>
            <w:r w:rsidR="00633C92">
              <w:rPr>
                <w:rFonts w:ascii="Arial" w:hAnsi="Arial" w:cs="Arial"/>
                <w:color w:val="000000"/>
                <w:sz w:val="20"/>
                <w:szCs w:val="20"/>
                <w:lang w:val="es-MX" w:eastAsia="es-MX"/>
              </w:rPr>
              <w:t>´</w:t>
            </w:r>
            <w:r>
              <w:rPr>
                <w:rFonts w:ascii="Arial" w:hAnsi="Arial" w:cs="Arial"/>
                <w:color w:val="000000"/>
                <w:sz w:val="20"/>
                <w:szCs w:val="20"/>
                <w:lang w:val="es-MX" w:eastAsia="es-MX"/>
              </w:rPr>
              <w:t>811</w:t>
            </w:r>
            <w:r w:rsidR="00633C92">
              <w:rPr>
                <w:rFonts w:ascii="Arial" w:hAnsi="Arial" w:cs="Arial"/>
                <w:color w:val="000000"/>
                <w:sz w:val="20"/>
                <w:szCs w:val="20"/>
                <w:lang w:val="es-MX" w:eastAsia="es-MX"/>
              </w:rPr>
              <w:t>,</w:t>
            </w:r>
            <w:r>
              <w:rPr>
                <w:rFonts w:ascii="Arial" w:hAnsi="Arial" w:cs="Arial"/>
                <w:color w:val="000000"/>
                <w:sz w:val="20"/>
                <w:szCs w:val="20"/>
                <w:lang w:val="es-MX" w:eastAsia="es-MX"/>
              </w:rPr>
              <w:t>202</w:t>
            </w:r>
          </w:p>
        </w:tc>
        <w:tc>
          <w:tcPr>
            <w:tcW w:w="0" w:type="auto"/>
            <w:tcBorders>
              <w:top w:val="nil"/>
              <w:left w:val="nil"/>
              <w:bottom w:val="nil"/>
              <w:right w:val="nil"/>
            </w:tcBorders>
            <w:shd w:val="clear" w:color="auto" w:fill="auto"/>
            <w:noWrap/>
            <w:vAlign w:val="bottom"/>
          </w:tcPr>
          <w:p w:rsidR="002B3714" w:rsidRPr="00581F1F" w:rsidRDefault="002B3714" w:rsidP="002012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2B3714" w:rsidRPr="00581F1F" w:rsidRDefault="00A131C2" w:rsidP="00A131C2">
            <w:pPr>
              <w:jc w:val="right"/>
              <w:rPr>
                <w:rFonts w:ascii="Arial" w:hAnsi="Arial" w:cs="Arial"/>
                <w:color w:val="000000"/>
                <w:sz w:val="20"/>
                <w:szCs w:val="20"/>
                <w:lang w:val="es-MX" w:eastAsia="es-MX"/>
              </w:rPr>
            </w:pPr>
            <w:r>
              <w:rPr>
                <w:rFonts w:ascii="Arial" w:hAnsi="Arial" w:cs="Arial"/>
                <w:color w:val="000000"/>
                <w:sz w:val="20"/>
                <w:szCs w:val="20"/>
                <w:lang w:val="es-MX" w:eastAsia="es-MX"/>
              </w:rPr>
              <w:t>6</w:t>
            </w:r>
            <w:r w:rsidR="00F63FF7">
              <w:rPr>
                <w:rFonts w:ascii="Arial" w:hAnsi="Arial" w:cs="Arial"/>
                <w:color w:val="000000"/>
                <w:sz w:val="20"/>
                <w:szCs w:val="20"/>
                <w:lang w:val="es-MX" w:eastAsia="es-MX"/>
              </w:rPr>
              <w:t>9</w:t>
            </w:r>
            <w:r w:rsidR="006248ED">
              <w:rPr>
                <w:rFonts w:ascii="Arial" w:hAnsi="Arial" w:cs="Arial"/>
                <w:color w:val="000000"/>
                <w:sz w:val="20"/>
                <w:szCs w:val="20"/>
                <w:lang w:val="es-MX" w:eastAsia="es-MX"/>
              </w:rPr>
              <w:t>´</w:t>
            </w:r>
            <w:r>
              <w:rPr>
                <w:rFonts w:ascii="Arial" w:hAnsi="Arial" w:cs="Arial"/>
                <w:color w:val="000000"/>
                <w:sz w:val="20"/>
                <w:szCs w:val="20"/>
                <w:lang w:val="es-MX" w:eastAsia="es-MX"/>
              </w:rPr>
              <w:t>000</w:t>
            </w:r>
            <w:r w:rsidR="006248ED">
              <w:rPr>
                <w:rFonts w:ascii="Arial" w:hAnsi="Arial" w:cs="Arial"/>
                <w:color w:val="000000"/>
                <w:sz w:val="20"/>
                <w:szCs w:val="20"/>
                <w:lang w:val="es-MX" w:eastAsia="es-MX"/>
              </w:rPr>
              <w:t>,</w:t>
            </w:r>
            <w:r>
              <w:rPr>
                <w:rFonts w:ascii="Arial" w:hAnsi="Arial" w:cs="Arial"/>
                <w:color w:val="000000"/>
                <w:sz w:val="20"/>
                <w:szCs w:val="20"/>
                <w:lang w:val="es-MX" w:eastAsia="es-MX"/>
              </w:rPr>
              <w:t>007</w:t>
            </w:r>
          </w:p>
        </w:tc>
      </w:tr>
      <w:tr w:rsidR="00EF7488" w:rsidRPr="00581F1F" w:rsidTr="002012CB">
        <w:trPr>
          <w:trHeight w:val="285"/>
        </w:trPr>
        <w:tc>
          <w:tcPr>
            <w:tcW w:w="0" w:type="auto"/>
            <w:gridSpan w:val="3"/>
            <w:tcBorders>
              <w:top w:val="nil"/>
              <w:bottom w:val="nil"/>
              <w:right w:val="nil"/>
            </w:tcBorders>
            <w:shd w:val="clear" w:color="auto" w:fill="auto"/>
            <w:noWrap/>
            <w:vAlign w:val="bottom"/>
          </w:tcPr>
          <w:p w:rsidR="00EF7488" w:rsidRPr="00581F1F" w:rsidRDefault="00504EE2" w:rsidP="002012CB">
            <w:pPr>
              <w:rPr>
                <w:rFonts w:ascii="Arial" w:hAnsi="Arial" w:cs="Arial"/>
                <w:color w:val="000000"/>
                <w:sz w:val="20"/>
                <w:szCs w:val="20"/>
                <w:lang w:val="es-MX" w:eastAsia="es-MX"/>
              </w:rPr>
            </w:pPr>
            <w:r w:rsidRPr="00581F1F">
              <w:rPr>
                <w:rFonts w:ascii="Arial" w:hAnsi="Arial" w:cs="Arial"/>
                <w:color w:val="000000"/>
                <w:sz w:val="20"/>
                <w:szCs w:val="20"/>
                <w:lang w:val="es-MX" w:eastAsia="es-MX"/>
              </w:rPr>
              <w:t>Fondo fijo</w:t>
            </w:r>
            <w:r w:rsidR="007C7F50" w:rsidRPr="00581F1F">
              <w:rPr>
                <w:rFonts w:ascii="Arial" w:hAnsi="Arial" w:cs="Arial"/>
                <w:color w:val="000000"/>
                <w:sz w:val="20"/>
                <w:szCs w:val="20"/>
                <w:lang w:val="es-MX" w:eastAsia="es-MX"/>
              </w:rPr>
              <w:t xml:space="preserve"> de caja</w:t>
            </w:r>
          </w:p>
        </w:tc>
        <w:tc>
          <w:tcPr>
            <w:tcW w:w="0" w:type="auto"/>
            <w:tcBorders>
              <w:top w:val="nil"/>
              <w:left w:val="nil"/>
              <w:bottom w:val="nil"/>
              <w:right w:val="nil"/>
            </w:tcBorders>
            <w:shd w:val="clear" w:color="auto" w:fill="auto"/>
            <w:noWrap/>
            <w:vAlign w:val="bottom"/>
          </w:tcPr>
          <w:p w:rsidR="00EF7488" w:rsidRPr="00581F1F" w:rsidRDefault="00EF7488" w:rsidP="002012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EF7488" w:rsidRPr="00581F1F" w:rsidRDefault="00292D8B" w:rsidP="004C4435">
            <w:pPr>
              <w:jc w:val="right"/>
              <w:rPr>
                <w:rFonts w:ascii="Arial" w:hAnsi="Arial" w:cs="Arial"/>
                <w:color w:val="000000"/>
                <w:sz w:val="20"/>
                <w:szCs w:val="20"/>
                <w:lang w:val="es-MX" w:eastAsia="es-MX"/>
              </w:rPr>
            </w:pPr>
            <w:r>
              <w:rPr>
                <w:rFonts w:ascii="Arial" w:hAnsi="Arial" w:cs="Arial"/>
                <w:color w:val="000000"/>
                <w:sz w:val="20"/>
                <w:szCs w:val="20"/>
                <w:lang w:val="es-MX" w:eastAsia="es-MX"/>
              </w:rPr>
              <w:t>0</w:t>
            </w:r>
            <w:r w:rsidR="00504EE2" w:rsidRPr="00581F1F">
              <w:rPr>
                <w:rFonts w:ascii="Arial" w:hAnsi="Arial" w:cs="Arial"/>
                <w:color w:val="000000"/>
                <w:sz w:val="20"/>
                <w:szCs w:val="20"/>
                <w:lang w:val="es-MX" w:eastAsia="es-MX"/>
              </w:rPr>
              <w:t>,000</w:t>
            </w:r>
          </w:p>
        </w:tc>
        <w:tc>
          <w:tcPr>
            <w:tcW w:w="0" w:type="auto"/>
            <w:tcBorders>
              <w:top w:val="nil"/>
              <w:left w:val="nil"/>
              <w:bottom w:val="nil"/>
              <w:right w:val="nil"/>
            </w:tcBorders>
            <w:shd w:val="clear" w:color="auto" w:fill="auto"/>
            <w:noWrap/>
            <w:vAlign w:val="bottom"/>
          </w:tcPr>
          <w:p w:rsidR="00EF7488" w:rsidRPr="00581F1F" w:rsidRDefault="00EF7488" w:rsidP="002012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EF7488" w:rsidRPr="00581F1F" w:rsidRDefault="00F63FF7" w:rsidP="002012CB">
            <w:pPr>
              <w:jc w:val="right"/>
              <w:rPr>
                <w:rFonts w:ascii="Arial" w:hAnsi="Arial" w:cs="Arial"/>
                <w:color w:val="000000"/>
                <w:sz w:val="20"/>
                <w:szCs w:val="20"/>
                <w:lang w:val="es-MX" w:eastAsia="es-MX"/>
              </w:rPr>
            </w:pPr>
            <w:r>
              <w:rPr>
                <w:rFonts w:ascii="Arial" w:hAnsi="Arial" w:cs="Arial"/>
                <w:color w:val="000000"/>
                <w:sz w:val="20"/>
                <w:szCs w:val="20"/>
                <w:lang w:val="es-MX" w:eastAsia="es-MX"/>
              </w:rPr>
              <w:t>0.00</w:t>
            </w:r>
          </w:p>
        </w:tc>
      </w:tr>
      <w:tr w:rsidR="005F0379" w:rsidRPr="00581F1F" w:rsidTr="009D65E6">
        <w:trPr>
          <w:trHeight w:val="315"/>
        </w:trPr>
        <w:tc>
          <w:tcPr>
            <w:tcW w:w="0" w:type="auto"/>
            <w:tcBorders>
              <w:top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F0379" w:rsidRPr="00581F1F" w:rsidRDefault="006E4C7E" w:rsidP="00FF4B22">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FF4B22">
              <w:rPr>
                <w:rFonts w:ascii="Arial" w:hAnsi="Arial" w:cs="Arial"/>
                <w:b/>
                <w:bCs/>
                <w:color w:val="000000"/>
                <w:sz w:val="20"/>
                <w:szCs w:val="20"/>
                <w:lang w:val="es-MX" w:eastAsia="es-MX"/>
              </w:rPr>
              <w:t>72</w:t>
            </w:r>
            <w:r w:rsidR="004C4435">
              <w:rPr>
                <w:rFonts w:ascii="Arial" w:hAnsi="Arial" w:cs="Arial"/>
                <w:b/>
                <w:bCs/>
                <w:color w:val="000000"/>
                <w:sz w:val="20"/>
                <w:szCs w:val="20"/>
                <w:lang w:val="es-MX" w:eastAsia="es-MX"/>
              </w:rPr>
              <w:t>´</w:t>
            </w:r>
            <w:r w:rsidR="00FF4B22">
              <w:rPr>
                <w:rFonts w:ascii="Arial" w:hAnsi="Arial" w:cs="Arial"/>
                <w:b/>
                <w:bCs/>
                <w:color w:val="000000"/>
                <w:sz w:val="20"/>
                <w:szCs w:val="20"/>
                <w:lang w:val="es-MX" w:eastAsia="es-MX"/>
              </w:rPr>
              <w:t>127</w:t>
            </w:r>
            <w:r w:rsidR="004C4435">
              <w:rPr>
                <w:rFonts w:ascii="Arial" w:hAnsi="Arial" w:cs="Arial"/>
                <w:b/>
                <w:bCs/>
                <w:color w:val="000000"/>
                <w:sz w:val="20"/>
                <w:szCs w:val="20"/>
                <w:lang w:val="es-MX" w:eastAsia="es-MX"/>
              </w:rPr>
              <w:t>,</w:t>
            </w:r>
            <w:r w:rsidR="00FF4B22">
              <w:rPr>
                <w:rFonts w:ascii="Arial" w:hAnsi="Arial" w:cs="Arial"/>
                <w:b/>
                <w:bCs/>
                <w:color w:val="000000"/>
                <w:sz w:val="20"/>
                <w:szCs w:val="20"/>
                <w:lang w:val="es-MX" w:eastAsia="es-MX"/>
              </w:rPr>
              <w:t>137</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tcPr>
          <w:p w:rsidR="005F0379" w:rsidRPr="00581F1F" w:rsidRDefault="00BB18E5" w:rsidP="00A131C2">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504EE2" w:rsidRPr="00581F1F">
              <w:rPr>
                <w:rFonts w:ascii="Arial" w:hAnsi="Arial" w:cs="Arial"/>
                <w:b/>
                <w:bCs/>
                <w:color w:val="000000"/>
                <w:sz w:val="20"/>
                <w:szCs w:val="20"/>
                <w:lang w:val="es-MX" w:eastAsia="es-MX"/>
              </w:rPr>
              <w:t xml:space="preserve">   </w:t>
            </w:r>
            <w:r w:rsidR="00A131C2">
              <w:rPr>
                <w:rFonts w:ascii="Arial" w:hAnsi="Arial" w:cs="Arial"/>
                <w:b/>
                <w:bCs/>
                <w:color w:val="000000"/>
                <w:sz w:val="20"/>
                <w:szCs w:val="20"/>
                <w:lang w:val="es-MX" w:eastAsia="es-MX"/>
              </w:rPr>
              <w:t>69</w:t>
            </w:r>
            <w:r w:rsidR="004C4435">
              <w:rPr>
                <w:rFonts w:ascii="Arial" w:hAnsi="Arial" w:cs="Arial"/>
                <w:b/>
                <w:bCs/>
                <w:color w:val="000000"/>
                <w:sz w:val="20"/>
                <w:szCs w:val="20"/>
                <w:lang w:val="es-MX" w:eastAsia="es-MX"/>
              </w:rPr>
              <w:t>´</w:t>
            </w:r>
            <w:r w:rsidR="00A131C2">
              <w:rPr>
                <w:rFonts w:ascii="Arial" w:hAnsi="Arial" w:cs="Arial"/>
                <w:b/>
                <w:bCs/>
                <w:color w:val="000000"/>
                <w:sz w:val="20"/>
                <w:szCs w:val="20"/>
                <w:lang w:val="es-MX" w:eastAsia="es-MX"/>
              </w:rPr>
              <w:t>345</w:t>
            </w:r>
            <w:r w:rsidR="004C4435">
              <w:rPr>
                <w:rFonts w:ascii="Arial" w:hAnsi="Arial" w:cs="Arial"/>
                <w:b/>
                <w:bCs/>
                <w:color w:val="000000"/>
                <w:sz w:val="20"/>
                <w:szCs w:val="20"/>
                <w:lang w:val="es-MX" w:eastAsia="es-MX"/>
              </w:rPr>
              <w:t>,</w:t>
            </w:r>
            <w:r w:rsidR="00A131C2">
              <w:rPr>
                <w:rFonts w:ascii="Arial" w:hAnsi="Arial" w:cs="Arial"/>
                <w:b/>
                <w:bCs/>
                <w:color w:val="000000"/>
                <w:sz w:val="20"/>
                <w:szCs w:val="20"/>
                <w:lang w:val="es-MX" w:eastAsia="es-MX"/>
              </w:rPr>
              <w:t>142</w:t>
            </w:r>
          </w:p>
        </w:tc>
      </w:tr>
    </w:tbl>
    <w:p w:rsidR="000C6040" w:rsidRPr="00581F1F" w:rsidRDefault="000C6040" w:rsidP="003B4142">
      <w:pPr>
        <w:pStyle w:val="Default"/>
        <w:rPr>
          <w:sz w:val="20"/>
          <w:szCs w:val="20"/>
        </w:rPr>
      </w:pPr>
    </w:p>
    <w:p w:rsidR="007B3D0E" w:rsidRDefault="007B3D0E" w:rsidP="002B3714">
      <w:pPr>
        <w:jc w:val="both"/>
        <w:rPr>
          <w:rFonts w:ascii="Arial" w:hAnsi="Arial" w:cs="Arial"/>
          <w:sz w:val="20"/>
          <w:szCs w:val="20"/>
        </w:rPr>
      </w:pPr>
    </w:p>
    <w:p w:rsidR="00292D8B" w:rsidRDefault="006A0E8D" w:rsidP="002B3714">
      <w:pPr>
        <w:jc w:val="both"/>
        <w:rPr>
          <w:rFonts w:ascii="Arial" w:hAnsi="Arial" w:cs="Arial"/>
          <w:sz w:val="20"/>
          <w:szCs w:val="20"/>
        </w:rPr>
      </w:pPr>
      <w:r>
        <w:rPr>
          <w:rFonts w:ascii="Arial" w:hAnsi="Arial" w:cs="Arial"/>
          <w:sz w:val="20"/>
          <w:szCs w:val="20"/>
        </w:rPr>
        <w:t>L</w:t>
      </w:r>
      <w:r w:rsidR="008248E9" w:rsidRPr="00EA2A73">
        <w:rPr>
          <w:rFonts w:ascii="Arial" w:hAnsi="Arial" w:cs="Arial"/>
          <w:sz w:val="20"/>
          <w:szCs w:val="20"/>
        </w:rPr>
        <w:t xml:space="preserve">as inversiones están representadas principalmente por inversión en </w:t>
      </w:r>
      <w:r w:rsidR="004C4435">
        <w:rPr>
          <w:rFonts w:ascii="Arial" w:hAnsi="Arial" w:cs="Arial"/>
          <w:sz w:val="20"/>
          <w:szCs w:val="20"/>
        </w:rPr>
        <w:t>valores gubernamentales</w:t>
      </w:r>
      <w:r w:rsidR="00292D8B">
        <w:rPr>
          <w:rFonts w:ascii="Arial" w:hAnsi="Arial" w:cs="Arial"/>
          <w:sz w:val="20"/>
          <w:szCs w:val="20"/>
        </w:rPr>
        <w:t>.</w:t>
      </w:r>
    </w:p>
    <w:tbl>
      <w:tblPr>
        <w:tblpPr w:leftFromText="141" w:rightFromText="141" w:vertAnchor="text" w:horzAnchor="margin" w:tblpXSpec="center" w:tblpY="69"/>
        <w:tblW w:w="0" w:type="auto"/>
        <w:tblCellMar>
          <w:left w:w="70" w:type="dxa"/>
          <w:right w:w="70" w:type="dxa"/>
        </w:tblCellMar>
        <w:tblLook w:val="04A0" w:firstRow="1" w:lastRow="0" w:firstColumn="1" w:lastColumn="0" w:noHBand="0" w:noVBand="1"/>
      </w:tblPr>
      <w:tblGrid>
        <w:gridCol w:w="1330"/>
        <w:gridCol w:w="160"/>
        <w:gridCol w:w="919"/>
      </w:tblGrid>
      <w:tr w:rsidR="00E90D94" w:rsidRPr="00581F1F" w:rsidTr="00E90D94">
        <w:trPr>
          <w:trHeight w:val="300"/>
        </w:trPr>
        <w:tc>
          <w:tcPr>
            <w:tcW w:w="1330" w:type="dxa"/>
            <w:tcBorders>
              <w:top w:val="nil"/>
              <w:left w:val="nil"/>
              <w:bottom w:val="nil"/>
              <w:right w:val="nil"/>
            </w:tcBorders>
            <w:shd w:val="clear" w:color="auto" w:fill="auto"/>
            <w:noWrap/>
            <w:vAlign w:val="bottom"/>
            <w:hideMark/>
          </w:tcPr>
          <w:p w:rsidR="00E90D94" w:rsidRPr="00581F1F" w:rsidRDefault="00E90D94" w:rsidP="00A11AE1">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w:t>
            </w:r>
            <w:r w:rsidR="00A11AE1">
              <w:rPr>
                <w:rFonts w:ascii="Arial" w:hAnsi="Arial" w:cs="Arial"/>
                <w:b/>
                <w:bCs/>
                <w:color w:val="000000"/>
                <w:sz w:val="20"/>
                <w:szCs w:val="20"/>
                <w:u w:val="single"/>
                <w:lang w:val="es-MX" w:eastAsia="es-MX"/>
              </w:rPr>
              <w:t>1</w:t>
            </w:r>
          </w:p>
        </w:tc>
        <w:tc>
          <w:tcPr>
            <w:tcW w:w="160" w:type="dxa"/>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A131C2">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A131C2">
              <w:rPr>
                <w:rFonts w:ascii="Arial" w:hAnsi="Arial" w:cs="Arial"/>
                <w:b/>
                <w:bCs/>
                <w:color w:val="000000"/>
                <w:sz w:val="20"/>
                <w:szCs w:val="20"/>
                <w:u w:val="single"/>
                <w:lang w:val="es-MX" w:eastAsia="es-MX"/>
              </w:rPr>
              <w:t>20</w:t>
            </w:r>
          </w:p>
        </w:tc>
      </w:tr>
      <w:tr w:rsidR="00E90D94" w:rsidRPr="00581F1F" w:rsidTr="00E90D94">
        <w:trPr>
          <w:trHeight w:val="285"/>
        </w:trPr>
        <w:tc>
          <w:tcPr>
            <w:tcW w:w="1330" w:type="dxa"/>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16"/>
                <w:szCs w:val="16"/>
                <w:lang w:val="es-MX" w:eastAsia="es-MX"/>
              </w:rPr>
            </w:pPr>
          </w:p>
        </w:tc>
      </w:tr>
      <w:tr w:rsidR="00E90D94" w:rsidRPr="00581F1F" w:rsidTr="00E90D94">
        <w:trPr>
          <w:trHeight w:val="285"/>
        </w:trPr>
        <w:tc>
          <w:tcPr>
            <w:tcW w:w="1330" w:type="dxa"/>
            <w:tcBorders>
              <w:top w:val="nil"/>
              <w:left w:val="nil"/>
              <w:bottom w:val="nil"/>
              <w:right w:val="nil"/>
            </w:tcBorders>
            <w:shd w:val="clear" w:color="auto" w:fill="auto"/>
            <w:noWrap/>
            <w:vAlign w:val="bottom"/>
            <w:hideMark/>
          </w:tcPr>
          <w:p w:rsidR="00E90D94" w:rsidRPr="00581F1F" w:rsidRDefault="00E90D94" w:rsidP="00E90D94">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Pr>
                <w:rFonts w:ascii="Arial" w:hAnsi="Arial" w:cs="Arial"/>
                <w:color w:val="000000"/>
                <w:sz w:val="20"/>
                <w:szCs w:val="20"/>
                <w:lang w:val="es-MX" w:eastAsia="es-MX"/>
              </w:rPr>
              <w:t>11</w:t>
            </w:r>
            <w:r w:rsidRPr="00581F1F">
              <w:rPr>
                <w:rFonts w:ascii="Arial" w:hAnsi="Arial" w:cs="Arial"/>
                <w:color w:val="000000"/>
                <w:sz w:val="20"/>
                <w:szCs w:val="20"/>
                <w:lang w:val="es-MX" w:eastAsia="es-MX"/>
              </w:rPr>
              <w:t>,</w:t>
            </w:r>
            <w:r>
              <w:rPr>
                <w:rFonts w:ascii="Arial" w:hAnsi="Arial" w:cs="Arial"/>
                <w:color w:val="000000"/>
                <w:sz w:val="20"/>
                <w:szCs w:val="20"/>
                <w:lang w:val="es-MX" w:eastAsia="es-MX"/>
              </w:rPr>
              <w:t>000.</w:t>
            </w:r>
          </w:p>
        </w:tc>
        <w:tc>
          <w:tcPr>
            <w:tcW w:w="160" w:type="dxa"/>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F63FF7">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F63FF7">
              <w:rPr>
                <w:rFonts w:ascii="Arial" w:hAnsi="Arial" w:cs="Arial"/>
                <w:color w:val="000000"/>
                <w:sz w:val="20"/>
                <w:szCs w:val="20"/>
                <w:lang w:val="es-MX" w:eastAsia="es-MX"/>
              </w:rPr>
              <w:t>11</w:t>
            </w:r>
            <w:r w:rsidRPr="00581F1F">
              <w:rPr>
                <w:rFonts w:ascii="Arial" w:hAnsi="Arial" w:cs="Arial"/>
                <w:color w:val="000000"/>
                <w:sz w:val="20"/>
                <w:szCs w:val="20"/>
                <w:lang w:val="es-MX" w:eastAsia="es-MX"/>
              </w:rPr>
              <w:t>,</w:t>
            </w:r>
            <w:r w:rsidR="00F63FF7">
              <w:rPr>
                <w:rFonts w:ascii="Arial" w:hAnsi="Arial" w:cs="Arial"/>
                <w:color w:val="000000"/>
                <w:sz w:val="20"/>
                <w:szCs w:val="20"/>
                <w:lang w:val="es-MX" w:eastAsia="es-MX"/>
              </w:rPr>
              <w:t>0</w:t>
            </w:r>
            <w:r>
              <w:rPr>
                <w:rFonts w:ascii="Arial" w:hAnsi="Arial" w:cs="Arial"/>
                <w:color w:val="000000"/>
                <w:sz w:val="20"/>
                <w:szCs w:val="20"/>
                <w:lang w:val="es-MX" w:eastAsia="es-MX"/>
              </w:rPr>
              <w:t>00</w:t>
            </w:r>
          </w:p>
        </w:tc>
      </w:tr>
    </w:tbl>
    <w:p w:rsidR="00292D8B" w:rsidRDefault="00292D8B" w:rsidP="002B3714">
      <w:pPr>
        <w:jc w:val="both"/>
        <w:rPr>
          <w:rFonts w:ascii="Arial" w:hAnsi="Arial" w:cs="Arial"/>
          <w:sz w:val="20"/>
          <w:szCs w:val="20"/>
        </w:rPr>
      </w:pPr>
    </w:p>
    <w:p w:rsidR="00E90D94" w:rsidRDefault="00292D8B" w:rsidP="002B3714">
      <w:pPr>
        <w:jc w:val="both"/>
        <w:rPr>
          <w:rFonts w:ascii="Arial" w:hAnsi="Arial" w:cs="Arial"/>
          <w:b/>
          <w:sz w:val="20"/>
          <w:szCs w:val="20"/>
          <w:u w:val="single"/>
        </w:rPr>
      </w:pPr>
      <w:r>
        <w:rPr>
          <w:rFonts w:ascii="Arial" w:hAnsi="Arial" w:cs="Arial"/>
          <w:sz w:val="20"/>
          <w:szCs w:val="20"/>
        </w:rPr>
        <w:tab/>
      </w:r>
      <w:r>
        <w:rPr>
          <w:rFonts w:ascii="Arial" w:hAnsi="Arial" w:cs="Arial"/>
          <w:b/>
          <w:sz w:val="20"/>
          <w:szCs w:val="20"/>
        </w:rPr>
        <w:t>2.</w:t>
      </w:r>
      <w:r>
        <w:rPr>
          <w:rFonts w:ascii="Arial" w:hAnsi="Arial" w:cs="Arial"/>
          <w:sz w:val="20"/>
          <w:szCs w:val="20"/>
        </w:rPr>
        <w:t xml:space="preserve"> </w:t>
      </w:r>
      <w:r>
        <w:rPr>
          <w:rFonts w:ascii="Arial" w:hAnsi="Arial" w:cs="Arial"/>
          <w:b/>
          <w:sz w:val="20"/>
          <w:szCs w:val="20"/>
          <w:u w:val="single"/>
        </w:rPr>
        <w:t>Depósitos en garantía.</w:t>
      </w:r>
      <w:r w:rsidR="00E90D94">
        <w:rPr>
          <w:rFonts w:ascii="Arial" w:hAnsi="Arial" w:cs="Arial"/>
          <w:b/>
          <w:sz w:val="20"/>
          <w:szCs w:val="20"/>
          <w:u w:val="single"/>
        </w:rPr>
        <w:t xml:space="preserve">                           </w:t>
      </w:r>
    </w:p>
    <w:p w:rsidR="00292D8B" w:rsidRDefault="00292D8B" w:rsidP="002B3714">
      <w:pPr>
        <w:jc w:val="both"/>
        <w:rPr>
          <w:rFonts w:ascii="Arial" w:hAnsi="Arial" w:cs="Arial"/>
          <w:b/>
          <w:sz w:val="20"/>
          <w:szCs w:val="20"/>
          <w:u w:val="single"/>
        </w:rPr>
      </w:pPr>
    </w:p>
    <w:p w:rsidR="002B3714" w:rsidRPr="003B4142" w:rsidRDefault="004C4435" w:rsidP="002B3714">
      <w:pPr>
        <w:jc w:val="both"/>
        <w:rPr>
          <w:rFonts w:ascii="Arial" w:hAnsi="Arial" w:cs="Arial"/>
          <w:sz w:val="20"/>
          <w:szCs w:val="20"/>
        </w:rPr>
      </w:pPr>
      <w:r>
        <w:rPr>
          <w:rFonts w:ascii="Arial" w:hAnsi="Arial" w:cs="Arial"/>
          <w:sz w:val="20"/>
          <w:szCs w:val="20"/>
        </w:rPr>
        <w:t xml:space="preserve"> </w:t>
      </w:r>
    </w:p>
    <w:p w:rsidR="00292D8B" w:rsidRDefault="00292D8B" w:rsidP="005F0379">
      <w:pPr>
        <w:pStyle w:val="Default"/>
        <w:ind w:left="360"/>
        <w:rPr>
          <w:sz w:val="20"/>
          <w:szCs w:val="20"/>
          <w:lang w:val="es-ES"/>
        </w:rPr>
      </w:pPr>
      <w:r>
        <w:rPr>
          <w:sz w:val="20"/>
          <w:szCs w:val="20"/>
          <w:lang w:val="es-ES"/>
        </w:rPr>
        <w:tab/>
      </w:r>
      <w:r>
        <w:rPr>
          <w:sz w:val="20"/>
          <w:szCs w:val="20"/>
          <w:lang w:val="es-ES"/>
        </w:rPr>
        <w:tab/>
      </w:r>
      <w:r>
        <w:rPr>
          <w:sz w:val="20"/>
          <w:szCs w:val="20"/>
          <w:lang w:val="es-ES"/>
        </w:rPr>
        <w:tab/>
      </w:r>
      <w:r>
        <w:rPr>
          <w:sz w:val="20"/>
          <w:szCs w:val="20"/>
          <w:lang w:val="es-ES"/>
        </w:rPr>
        <w:tab/>
      </w:r>
    </w:p>
    <w:p w:rsidR="00FB28F4" w:rsidRDefault="00E90D94" w:rsidP="005F0379">
      <w:pPr>
        <w:pStyle w:val="Default"/>
        <w:ind w:left="360"/>
        <w:rPr>
          <w:sz w:val="20"/>
          <w:szCs w:val="20"/>
          <w:lang w:val="es-ES"/>
        </w:rPr>
      </w:pPr>
      <w:r>
        <w:rPr>
          <w:sz w:val="20"/>
          <w:szCs w:val="20"/>
          <w:lang w:val="es-ES"/>
        </w:rPr>
        <w:t xml:space="preserve">En apego en lo estipulado en contrato de arrendamiento celebrado donde se </w:t>
      </w:r>
      <w:r w:rsidR="003667AD">
        <w:rPr>
          <w:sz w:val="20"/>
          <w:szCs w:val="20"/>
          <w:lang w:val="es-ES"/>
        </w:rPr>
        <w:t>ubican</w:t>
      </w:r>
      <w:r>
        <w:rPr>
          <w:sz w:val="20"/>
          <w:szCs w:val="20"/>
          <w:lang w:val="es-ES"/>
        </w:rPr>
        <w:t xml:space="preserve"> las oficinas del fideicomiso, se estableció depósito en garantía con el arrendador.</w:t>
      </w:r>
    </w:p>
    <w:p w:rsidR="00551751" w:rsidRPr="00581F1F" w:rsidRDefault="00551751" w:rsidP="000C6040">
      <w:pPr>
        <w:pStyle w:val="Default"/>
        <w:ind w:left="360"/>
        <w:rPr>
          <w:sz w:val="20"/>
          <w:szCs w:val="20"/>
        </w:rPr>
      </w:pPr>
    </w:p>
    <w:tbl>
      <w:tblPr>
        <w:tblW w:w="6799" w:type="dxa"/>
        <w:tblCellMar>
          <w:left w:w="70" w:type="dxa"/>
          <w:right w:w="70" w:type="dxa"/>
        </w:tblCellMar>
        <w:tblLook w:val="04A0" w:firstRow="1" w:lastRow="0" w:firstColumn="1" w:lastColumn="0" w:noHBand="0" w:noVBand="1"/>
      </w:tblPr>
      <w:tblGrid>
        <w:gridCol w:w="3082"/>
        <w:gridCol w:w="159"/>
        <w:gridCol w:w="153"/>
        <w:gridCol w:w="153"/>
        <w:gridCol w:w="1544"/>
        <w:gridCol w:w="153"/>
        <w:gridCol w:w="1555"/>
      </w:tblGrid>
      <w:tr w:rsidR="00A07E59" w:rsidRPr="00581F1F" w:rsidTr="00722E26">
        <w:trPr>
          <w:trHeight w:val="291"/>
        </w:trPr>
        <w:tc>
          <w:tcPr>
            <w:tcW w:w="0" w:type="auto"/>
            <w:tcBorders>
              <w:top w:val="nil"/>
              <w:bottom w:val="nil"/>
              <w:right w:val="nil"/>
            </w:tcBorders>
            <w:shd w:val="clear" w:color="auto" w:fill="auto"/>
            <w:noWrap/>
            <w:vAlign w:val="bottom"/>
            <w:hideMark/>
          </w:tcPr>
          <w:p w:rsidR="00551751" w:rsidRPr="00581F1F" w:rsidRDefault="00551751" w:rsidP="0015033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r w:rsidR="00A07E59">
              <w:rPr>
                <w:rFonts w:ascii="Arial" w:hAnsi="Arial" w:cs="Arial"/>
                <w:color w:val="000000"/>
                <w:sz w:val="20"/>
                <w:szCs w:val="20"/>
                <w:lang w:val="es-MX" w:eastAsia="es-MX"/>
              </w:rPr>
              <w:t>Garantías líquidas otorgadas:</w:t>
            </w: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A11AE1">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w:t>
            </w:r>
            <w:r w:rsidR="00A11AE1">
              <w:rPr>
                <w:rFonts w:ascii="Arial" w:hAnsi="Arial" w:cs="Arial"/>
                <w:b/>
                <w:bCs/>
                <w:color w:val="000000"/>
                <w:sz w:val="20"/>
                <w:szCs w:val="20"/>
                <w:u w:val="single"/>
                <w:lang w:val="es-MX" w:eastAsia="es-MX"/>
              </w:rPr>
              <w:t>1</w:t>
            </w: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A131C2">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A131C2">
              <w:rPr>
                <w:rFonts w:ascii="Arial" w:hAnsi="Arial" w:cs="Arial"/>
                <w:b/>
                <w:bCs/>
                <w:color w:val="000000"/>
                <w:sz w:val="20"/>
                <w:szCs w:val="20"/>
                <w:u w:val="single"/>
                <w:lang w:val="es-MX" w:eastAsia="es-MX"/>
              </w:rPr>
              <w:t>20</w:t>
            </w:r>
          </w:p>
        </w:tc>
      </w:tr>
      <w:tr w:rsidR="00A07E59" w:rsidRPr="00581F1F" w:rsidTr="00722E26">
        <w:trPr>
          <w:trHeight w:val="277"/>
        </w:trPr>
        <w:tc>
          <w:tcPr>
            <w:tcW w:w="0" w:type="auto"/>
            <w:tcBorders>
              <w:top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r>
      <w:tr w:rsidR="00504EE2" w:rsidRPr="00581F1F" w:rsidTr="00722E26">
        <w:trPr>
          <w:trHeight w:val="277"/>
        </w:trPr>
        <w:tc>
          <w:tcPr>
            <w:tcW w:w="0" w:type="auto"/>
            <w:gridSpan w:val="3"/>
            <w:tcBorders>
              <w:top w:val="nil"/>
              <w:bottom w:val="nil"/>
              <w:right w:val="nil"/>
            </w:tcBorders>
            <w:shd w:val="clear" w:color="auto" w:fill="auto"/>
            <w:noWrap/>
            <w:vAlign w:val="bottom"/>
            <w:hideMark/>
          </w:tcPr>
          <w:p w:rsidR="00504EE2" w:rsidRPr="00581F1F" w:rsidRDefault="004C4435" w:rsidP="00551751">
            <w:pPr>
              <w:rPr>
                <w:rFonts w:ascii="Arial" w:hAnsi="Arial" w:cs="Arial"/>
                <w:color w:val="000000"/>
                <w:sz w:val="20"/>
                <w:szCs w:val="20"/>
                <w:lang w:val="es-MX" w:eastAsia="es-MX"/>
              </w:rPr>
            </w:pPr>
            <w:r>
              <w:rPr>
                <w:rFonts w:ascii="Arial" w:hAnsi="Arial" w:cs="Arial"/>
                <w:color w:val="000000"/>
                <w:sz w:val="20"/>
                <w:szCs w:val="20"/>
                <w:lang w:val="es-MX" w:eastAsia="es-MX"/>
              </w:rPr>
              <w:t>Garantías Líquidas</w:t>
            </w: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FF4B2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4F7FC1" w:rsidRPr="00581F1F">
              <w:rPr>
                <w:rFonts w:ascii="Arial" w:hAnsi="Arial" w:cs="Arial"/>
                <w:color w:val="000000"/>
                <w:sz w:val="20"/>
                <w:szCs w:val="20"/>
                <w:lang w:val="es-MX" w:eastAsia="es-MX"/>
              </w:rPr>
              <w:t xml:space="preserve"> </w:t>
            </w:r>
            <w:r w:rsidR="00FF4B22">
              <w:rPr>
                <w:rFonts w:ascii="Arial" w:hAnsi="Arial" w:cs="Arial"/>
                <w:color w:val="000000"/>
                <w:sz w:val="20"/>
                <w:szCs w:val="20"/>
                <w:lang w:val="es-MX" w:eastAsia="es-MX"/>
              </w:rPr>
              <w:t>7</w:t>
            </w:r>
            <w:r w:rsidRPr="00581F1F">
              <w:rPr>
                <w:rFonts w:ascii="Arial" w:hAnsi="Arial" w:cs="Arial"/>
                <w:color w:val="000000"/>
                <w:sz w:val="20"/>
                <w:szCs w:val="20"/>
                <w:lang w:val="es-MX" w:eastAsia="es-MX"/>
              </w:rPr>
              <w:t>,</w:t>
            </w:r>
            <w:r w:rsidR="00FF4B22">
              <w:rPr>
                <w:rFonts w:ascii="Arial" w:hAnsi="Arial" w:cs="Arial"/>
                <w:color w:val="000000"/>
                <w:sz w:val="20"/>
                <w:szCs w:val="20"/>
                <w:lang w:val="es-MX" w:eastAsia="es-MX"/>
              </w:rPr>
              <w:t>470</w:t>
            </w:r>
            <w:r w:rsidRPr="00581F1F">
              <w:rPr>
                <w:rFonts w:ascii="Arial" w:hAnsi="Arial" w:cs="Arial"/>
                <w:color w:val="000000"/>
                <w:sz w:val="20"/>
                <w:szCs w:val="20"/>
                <w:lang w:val="es-MX" w:eastAsia="es-MX"/>
              </w:rPr>
              <w:t>,</w:t>
            </w:r>
            <w:r w:rsidR="00FF4B22">
              <w:rPr>
                <w:rFonts w:ascii="Arial" w:hAnsi="Arial" w:cs="Arial"/>
                <w:color w:val="000000"/>
                <w:sz w:val="20"/>
                <w:szCs w:val="20"/>
                <w:lang w:val="es-MX" w:eastAsia="es-MX"/>
              </w:rPr>
              <w:t>212</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A131C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A131C2">
              <w:rPr>
                <w:rFonts w:ascii="Arial" w:hAnsi="Arial" w:cs="Arial"/>
                <w:color w:val="000000"/>
                <w:sz w:val="20"/>
                <w:szCs w:val="20"/>
                <w:lang w:val="es-MX" w:eastAsia="es-MX"/>
              </w:rPr>
              <w:t>18</w:t>
            </w:r>
            <w:r w:rsidRPr="00581F1F">
              <w:rPr>
                <w:rFonts w:ascii="Arial" w:hAnsi="Arial" w:cs="Arial"/>
                <w:color w:val="000000"/>
                <w:sz w:val="20"/>
                <w:szCs w:val="20"/>
                <w:lang w:val="es-MX" w:eastAsia="es-MX"/>
              </w:rPr>
              <w:t>,</w:t>
            </w:r>
            <w:r w:rsidR="00A131C2">
              <w:rPr>
                <w:rFonts w:ascii="Arial" w:hAnsi="Arial" w:cs="Arial"/>
                <w:color w:val="000000"/>
                <w:sz w:val="20"/>
                <w:szCs w:val="20"/>
                <w:lang w:val="es-MX" w:eastAsia="es-MX"/>
              </w:rPr>
              <w:t>925</w:t>
            </w:r>
            <w:r w:rsidRPr="00581F1F">
              <w:rPr>
                <w:rFonts w:ascii="Arial" w:hAnsi="Arial" w:cs="Arial"/>
                <w:color w:val="000000"/>
                <w:sz w:val="20"/>
                <w:szCs w:val="20"/>
                <w:lang w:val="es-MX" w:eastAsia="es-MX"/>
              </w:rPr>
              <w:t>,</w:t>
            </w:r>
            <w:r w:rsidR="00A131C2">
              <w:rPr>
                <w:rFonts w:ascii="Arial" w:hAnsi="Arial" w:cs="Arial"/>
                <w:color w:val="000000"/>
                <w:sz w:val="20"/>
                <w:szCs w:val="20"/>
                <w:lang w:val="es-MX" w:eastAsia="es-MX"/>
              </w:rPr>
              <w:t>905</w:t>
            </w:r>
            <w:r w:rsidRPr="00581F1F">
              <w:rPr>
                <w:rFonts w:ascii="Arial" w:hAnsi="Arial" w:cs="Arial"/>
                <w:color w:val="000000"/>
                <w:sz w:val="20"/>
                <w:szCs w:val="20"/>
                <w:lang w:val="es-MX" w:eastAsia="es-MX"/>
              </w:rPr>
              <w:t xml:space="preserve"> </w:t>
            </w:r>
          </w:p>
        </w:tc>
      </w:tr>
      <w:tr w:rsidR="00B934C3" w:rsidRPr="00581F1F" w:rsidTr="00722E26">
        <w:trPr>
          <w:trHeight w:val="277"/>
        </w:trPr>
        <w:tc>
          <w:tcPr>
            <w:tcW w:w="0" w:type="auto"/>
            <w:gridSpan w:val="2"/>
            <w:tcBorders>
              <w:top w:val="nil"/>
              <w:bottom w:val="nil"/>
              <w:right w:val="nil"/>
            </w:tcBorders>
            <w:shd w:val="clear" w:color="auto" w:fill="auto"/>
            <w:noWrap/>
            <w:vAlign w:val="bottom"/>
            <w:hideMark/>
          </w:tcPr>
          <w:p w:rsidR="00FC6249" w:rsidRPr="00581F1F" w:rsidRDefault="001A2F8A" w:rsidP="001A2F8A">
            <w:pPr>
              <w:rPr>
                <w:rFonts w:ascii="Arial" w:hAnsi="Arial" w:cs="Arial"/>
                <w:color w:val="000000"/>
                <w:sz w:val="20"/>
                <w:szCs w:val="20"/>
                <w:lang w:val="es-MX" w:eastAsia="es-MX"/>
              </w:rPr>
            </w:pPr>
            <w:r>
              <w:rPr>
                <w:rFonts w:ascii="Arial" w:hAnsi="Arial" w:cs="Arial"/>
                <w:color w:val="000000"/>
                <w:sz w:val="20"/>
                <w:szCs w:val="20"/>
                <w:lang w:val="es-MX" w:eastAsia="es-MX"/>
              </w:rPr>
              <w:t>Garantías pagadas por recuperar</w:t>
            </w:r>
          </w:p>
        </w:tc>
        <w:tc>
          <w:tcPr>
            <w:tcW w:w="0" w:type="auto"/>
            <w:tcBorders>
              <w:top w:val="nil"/>
              <w:left w:val="nil"/>
              <w:bottom w:val="nil"/>
              <w:right w:val="nil"/>
            </w:tcBorders>
            <w:shd w:val="clear" w:color="auto" w:fill="auto"/>
            <w:noWrap/>
            <w:vAlign w:val="bottom"/>
            <w:hideMark/>
          </w:tcPr>
          <w:p w:rsidR="00FC6249" w:rsidRPr="00581F1F" w:rsidRDefault="00FC6249" w:rsidP="00FC624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FC6249" w:rsidRPr="00581F1F" w:rsidRDefault="00FC6249" w:rsidP="00FC624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FC6249" w:rsidRPr="00581F1F" w:rsidRDefault="00FC6249" w:rsidP="00A11AE1">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1A2F8A">
              <w:rPr>
                <w:rFonts w:ascii="Arial" w:hAnsi="Arial" w:cs="Arial"/>
                <w:color w:val="000000"/>
                <w:sz w:val="20"/>
                <w:szCs w:val="20"/>
                <w:lang w:val="es-MX" w:eastAsia="es-MX"/>
              </w:rPr>
              <w:t xml:space="preserve">  </w:t>
            </w:r>
            <w:r w:rsidR="005C43E0">
              <w:rPr>
                <w:rFonts w:ascii="Arial" w:hAnsi="Arial" w:cs="Arial"/>
                <w:color w:val="000000"/>
                <w:sz w:val="20"/>
                <w:szCs w:val="20"/>
                <w:lang w:val="es-MX" w:eastAsia="es-MX"/>
              </w:rPr>
              <w:t>10</w:t>
            </w:r>
            <w:r w:rsidR="001A2F8A">
              <w:rPr>
                <w:rFonts w:ascii="Arial" w:hAnsi="Arial" w:cs="Arial"/>
                <w:color w:val="000000"/>
                <w:sz w:val="20"/>
                <w:szCs w:val="20"/>
                <w:lang w:val="es-MX" w:eastAsia="es-MX"/>
              </w:rPr>
              <w:t>,</w:t>
            </w:r>
            <w:r w:rsidR="00A11AE1">
              <w:rPr>
                <w:rFonts w:ascii="Arial" w:hAnsi="Arial" w:cs="Arial"/>
                <w:color w:val="000000"/>
                <w:sz w:val="20"/>
                <w:szCs w:val="20"/>
                <w:lang w:val="es-MX" w:eastAsia="es-MX"/>
              </w:rPr>
              <w:t>795</w:t>
            </w:r>
            <w:r w:rsidR="001A2F8A">
              <w:rPr>
                <w:rFonts w:ascii="Arial" w:hAnsi="Arial" w:cs="Arial"/>
                <w:color w:val="000000"/>
                <w:sz w:val="20"/>
                <w:szCs w:val="20"/>
                <w:lang w:val="es-MX" w:eastAsia="es-MX"/>
              </w:rPr>
              <w:t>,</w:t>
            </w:r>
            <w:r w:rsidR="005C43E0">
              <w:rPr>
                <w:rFonts w:ascii="Arial" w:hAnsi="Arial" w:cs="Arial"/>
                <w:color w:val="000000"/>
                <w:sz w:val="20"/>
                <w:szCs w:val="20"/>
                <w:lang w:val="es-MX" w:eastAsia="es-MX"/>
              </w:rPr>
              <w:t>879</w:t>
            </w:r>
          </w:p>
        </w:tc>
        <w:tc>
          <w:tcPr>
            <w:tcW w:w="0" w:type="auto"/>
            <w:tcBorders>
              <w:top w:val="nil"/>
              <w:left w:val="nil"/>
              <w:bottom w:val="nil"/>
              <w:right w:val="nil"/>
            </w:tcBorders>
            <w:shd w:val="clear" w:color="auto" w:fill="auto"/>
            <w:noWrap/>
            <w:vAlign w:val="bottom"/>
            <w:hideMark/>
          </w:tcPr>
          <w:p w:rsidR="00FC6249" w:rsidRPr="00581F1F" w:rsidRDefault="00FC6249" w:rsidP="00FC624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FC6249" w:rsidRPr="00581F1F" w:rsidRDefault="00FC6249" w:rsidP="00A131C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A131C2">
              <w:rPr>
                <w:rFonts w:ascii="Arial" w:hAnsi="Arial" w:cs="Arial"/>
                <w:color w:val="000000"/>
                <w:sz w:val="20"/>
                <w:szCs w:val="20"/>
                <w:lang w:val="es-MX" w:eastAsia="es-MX"/>
              </w:rPr>
              <w:t>10</w:t>
            </w:r>
            <w:r w:rsidR="004C4435">
              <w:rPr>
                <w:rFonts w:ascii="Arial" w:hAnsi="Arial" w:cs="Arial"/>
                <w:color w:val="000000"/>
                <w:sz w:val="20"/>
                <w:szCs w:val="20"/>
                <w:lang w:val="es-MX" w:eastAsia="es-MX"/>
              </w:rPr>
              <w:t>´</w:t>
            </w:r>
            <w:r w:rsidR="00A131C2">
              <w:rPr>
                <w:rFonts w:ascii="Arial" w:hAnsi="Arial" w:cs="Arial"/>
                <w:color w:val="000000"/>
                <w:sz w:val="20"/>
                <w:szCs w:val="20"/>
                <w:lang w:val="es-MX" w:eastAsia="es-MX"/>
              </w:rPr>
              <w:t>835</w:t>
            </w:r>
            <w:r w:rsidRPr="00581F1F">
              <w:rPr>
                <w:rFonts w:ascii="Arial" w:hAnsi="Arial" w:cs="Arial"/>
                <w:color w:val="000000"/>
                <w:sz w:val="20"/>
                <w:szCs w:val="20"/>
                <w:lang w:val="es-MX" w:eastAsia="es-MX"/>
              </w:rPr>
              <w:t>,</w:t>
            </w:r>
            <w:r w:rsidR="00A131C2">
              <w:rPr>
                <w:rFonts w:ascii="Arial" w:hAnsi="Arial" w:cs="Arial"/>
                <w:color w:val="000000"/>
                <w:sz w:val="20"/>
                <w:szCs w:val="20"/>
                <w:lang w:val="es-MX" w:eastAsia="es-MX"/>
              </w:rPr>
              <w:t>879</w:t>
            </w:r>
          </w:p>
        </w:tc>
      </w:tr>
      <w:tr w:rsidR="00B934C3" w:rsidRPr="00581F1F" w:rsidTr="00722E26">
        <w:trPr>
          <w:trHeight w:val="70"/>
        </w:trPr>
        <w:tc>
          <w:tcPr>
            <w:tcW w:w="0" w:type="auto"/>
            <w:gridSpan w:val="2"/>
            <w:tcBorders>
              <w:top w:val="nil"/>
              <w:bottom w:val="nil"/>
              <w:right w:val="nil"/>
            </w:tcBorders>
            <w:shd w:val="clear" w:color="auto" w:fill="auto"/>
            <w:noWrap/>
            <w:vAlign w:val="bottom"/>
          </w:tcPr>
          <w:p w:rsidR="00504EE2" w:rsidRPr="00581F1F" w:rsidRDefault="00504EE2"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1A2F8A">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4C4435">
            <w:pPr>
              <w:jc w:val="right"/>
              <w:rPr>
                <w:rFonts w:ascii="Arial" w:hAnsi="Arial" w:cs="Arial"/>
                <w:color w:val="000000"/>
                <w:sz w:val="20"/>
                <w:szCs w:val="20"/>
                <w:lang w:val="es-MX" w:eastAsia="es-MX"/>
              </w:rPr>
            </w:pPr>
          </w:p>
        </w:tc>
      </w:tr>
      <w:tr w:rsidR="00A07E59" w:rsidRPr="00581F1F" w:rsidTr="00722E26">
        <w:trPr>
          <w:trHeight w:val="306"/>
        </w:trPr>
        <w:tc>
          <w:tcPr>
            <w:tcW w:w="0" w:type="auto"/>
            <w:tcBorders>
              <w:top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04EE2" w:rsidRPr="00581F1F" w:rsidRDefault="00504EE2" w:rsidP="00FF4B22">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4F7FC1" w:rsidRPr="00581F1F">
              <w:rPr>
                <w:rFonts w:ascii="Arial" w:hAnsi="Arial" w:cs="Arial"/>
                <w:b/>
                <w:bCs/>
                <w:color w:val="000000"/>
                <w:sz w:val="20"/>
                <w:szCs w:val="20"/>
                <w:lang w:val="es-MX" w:eastAsia="es-MX"/>
              </w:rPr>
              <w:t xml:space="preserve"> </w:t>
            </w:r>
            <w:r w:rsidR="00FF4B22">
              <w:rPr>
                <w:rFonts w:ascii="Arial" w:hAnsi="Arial" w:cs="Arial"/>
                <w:b/>
                <w:bCs/>
                <w:color w:val="000000"/>
                <w:sz w:val="20"/>
                <w:szCs w:val="20"/>
                <w:lang w:val="es-MX" w:eastAsia="es-MX"/>
              </w:rPr>
              <w:t>18</w:t>
            </w:r>
            <w:r w:rsidRPr="00581F1F">
              <w:rPr>
                <w:rFonts w:ascii="Arial" w:hAnsi="Arial" w:cs="Arial"/>
                <w:b/>
                <w:bCs/>
                <w:color w:val="000000"/>
                <w:sz w:val="20"/>
                <w:szCs w:val="20"/>
                <w:lang w:val="es-MX" w:eastAsia="es-MX"/>
              </w:rPr>
              <w:t>,</w:t>
            </w:r>
            <w:r w:rsidR="00FF4B22">
              <w:rPr>
                <w:rFonts w:ascii="Arial" w:hAnsi="Arial" w:cs="Arial"/>
                <w:b/>
                <w:bCs/>
                <w:color w:val="000000"/>
                <w:sz w:val="20"/>
                <w:szCs w:val="20"/>
                <w:lang w:val="es-MX" w:eastAsia="es-MX"/>
              </w:rPr>
              <w:t>266</w:t>
            </w:r>
            <w:r w:rsidRPr="00581F1F">
              <w:rPr>
                <w:rFonts w:ascii="Arial" w:hAnsi="Arial" w:cs="Arial"/>
                <w:b/>
                <w:bCs/>
                <w:color w:val="000000"/>
                <w:sz w:val="20"/>
                <w:szCs w:val="20"/>
                <w:lang w:val="es-MX" w:eastAsia="es-MX"/>
              </w:rPr>
              <w:t>,</w:t>
            </w:r>
            <w:r w:rsidR="00FF4B22">
              <w:rPr>
                <w:rFonts w:ascii="Arial" w:hAnsi="Arial" w:cs="Arial"/>
                <w:b/>
                <w:bCs/>
                <w:color w:val="000000"/>
                <w:sz w:val="20"/>
                <w:szCs w:val="20"/>
                <w:lang w:val="es-MX" w:eastAsia="es-MX"/>
              </w:rPr>
              <w:t>091</w:t>
            </w:r>
            <w:r w:rsidRPr="00581F1F">
              <w:rPr>
                <w:rFonts w:ascii="Arial" w:hAnsi="Arial" w:cs="Arial"/>
                <w:b/>
                <w:bCs/>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04EE2" w:rsidRPr="00581F1F" w:rsidRDefault="00504EE2" w:rsidP="00A131C2">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A131C2">
              <w:rPr>
                <w:rFonts w:ascii="Arial" w:hAnsi="Arial" w:cs="Arial"/>
                <w:b/>
                <w:bCs/>
                <w:color w:val="000000"/>
                <w:sz w:val="20"/>
                <w:szCs w:val="20"/>
                <w:lang w:val="es-MX" w:eastAsia="es-MX"/>
              </w:rPr>
              <w:t>29</w:t>
            </w:r>
            <w:r w:rsidRPr="00581F1F">
              <w:rPr>
                <w:rFonts w:ascii="Arial" w:hAnsi="Arial" w:cs="Arial"/>
                <w:b/>
                <w:bCs/>
                <w:color w:val="000000"/>
                <w:sz w:val="20"/>
                <w:szCs w:val="20"/>
                <w:lang w:val="es-MX" w:eastAsia="es-MX"/>
              </w:rPr>
              <w:t>,</w:t>
            </w:r>
            <w:r w:rsidR="00A131C2">
              <w:rPr>
                <w:rFonts w:ascii="Arial" w:hAnsi="Arial" w:cs="Arial"/>
                <w:b/>
                <w:bCs/>
                <w:color w:val="000000"/>
                <w:sz w:val="20"/>
                <w:szCs w:val="20"/>
                <w:lang w:val="es-MX" w:eastAsia="es-MX"/>
              </w:rPr>
              <w:t>761</w:t>
            </w:r>
            <w:r w:rsidRPr="00581F1F">
              <w:rPr>
                <w:rFonts w:ascii="Arial" w:hAnsi="Arial" w:cs="Arial"/>
                <w:b/>
                <w:bCs/>
                <w:color w:val="000000"/>
                <w:sz w:val="20"/>
                <w:szCs w:val="20"/>
                <w:lang w:val="es-MX" w:eastAsia="es-MX"/>
              </w:rPr>
              <w:t>,</w:t>
            </w:r>
            <w:r w:rsidR="00A131C2">
              <w:rPr>
                <w:rFonts w:ascii="Arial" w:hAnsi="Arial" w:cs="Arial"/>
                <w:b/>
                <w:bCs/>
                <w:color w:val="000000"/>
                <w:sz w:val="20"/>
                <w:szCs w:val="20"/>
                <w:lang w:val="es-MX" w:eastAsia="es-MX"/>
              </w:rPr>
              <w:t>784</w:t>
            </w:r>
            <w:r w:rsidRPr="00581F1F">
              <w:rPr>
                <w:rFonts w:ascii="Arial" w:hAnsi="Arial" w:cs="Arial"/>
                <w:b/>
                <w:bCs/>
                <w:color w:val="000000"/>
                <w:sz w:val="20"/>
                <w:szCs w:val="20"/>
                <w:lang w:val="es-MX" w:eastAsia="es-MX"/>
              </w:rPr>
              <w:t xml:space="preserve"> </w:t>
            </w:r>
          </w:p>
        </w:tc>
      </w:tr>
    </w:tbl>
    <w:p w:rsidR="00551751" w:rsidRPr="00581F1F" w:rsidRDefault="00551751" w:rsidP="000C6040">
      <w:pPr>
        <w:pStyle w:val="Default"/>
        <w:ind w:left="360"/>
        <w:rPr>
          <w:sz w:val="20"/>
          <w:szCs w:val="20"/>
        </w:rPr>
      </w:pPr>
    </w:p>
    <w:p w:rsidR="009306CB" w:rsidRPr="00581F1F" w:rsidRDefault="00722E26" w:rsidP="0016350B">
      <w:pPr>
        <w:pStyle w:val="Default"/>
        <w:rPr>
          <w:sz w:val="20"/>
          <w:szCs w:val="20"/>
        </w:rPr>
      </w:pPr>
      <w:r>
        <w:rPr>
          <w:sz w:val="20"/>
          <w:szCs w:val="20"/>
        </w:rPr>
        <w:t>Garantías líquidas:</w:t>
      </w:r>
    </w:p>
    <w:p w:rsidR="009306CB" w:rsidRDefault="00B934C3" w:rsidP="009306CB">
      <w:pPr>
        <w:pStyle w:val="Default"/>
        <w:jc w:val="both"/>
        <w:rPr>
          <w:sz w:val="20"/>
          <w:szCs w:val="20"/>
        </w:rPr>
      </w:pPr>
      <w:r>
        <w:rPr>
          <w:sz w:val="20"/>
          <w:szCs w:val="20"/>
        </w:rPr>
        <w:t>Garantías otorgadas al amparo de Contratos de Participación con intermediarios financieros</w:t>
      </w:r>
      <w:r w:rsidR="009D4D70">
        <w:rPr>
          <w:sz w:val="20"/>
          <w:szCs w:val="20"/>
        </w:rPr>
        <w:t xml:space="preserve"> no bancarios</w:t>
      </w:r>
      <w:r>
        <w:rPr>
          <w:sz w:val="20"/>
          <w:szCs w:val="20"/>
        </w:rPr>
        <w:t xml:space="preserve"> para el otorgamiento de financiamientos a productores del sector agropecuario sonorense.</w:t>
      </w:r>
    </w:p>
    <w:p w:rsidR="00B934C3" w:rsidRDefault="00B934C3" w:rsidP="009306CB">
      <w:pPr>
        <w:pStyle w:val="Default"/>
        <w:jc w:val="both"/>
        <w:rPr>
          <w:sz w:val="20"/>
          <w:szCs w:val="20"/>
        </w:rPr>
      </w:pPr>
    </w:p>
    <w:p w:rsidR="00B934C3" w:rsidRDefault="00B934C3" w:rsidP="009306CB">
      <w:pPr>
        <w:pStyle w:val="Default"/>
        <w:jc w:val="both"/>
        <w:rPr>
          <w:sz w:val="20"/>
          <w:szCs w:val="20"/>
        </w:rPr>
      </w:pPr>
    </w:p>
    <w:p w:rsidR="00007BA2" w:rsidRPr="00581F1F" w:rsidRDefault="00007BA2" w:rsidP="00007BA2">
      <w:pPr>
        <w:pStyle w:val="Default"/>
        <w:numPr>
          <w:ilvl w:val="0"/>
          <w:numId w:val="25"/>
        </w:numPr>
        <w:rPr>
          <w:b/>
          <w:sz w:val="20"/>
          <w:szCs w:val="20"/>
          <w:u w:val="single"/>
        </w:rPr>
      </w:pPr>
      <w:r w:rsidRPr="00581F1F">
        <w:rPr>
          <w:b/>
          <w:sz w:val="20"/>
          <w:szCs w:val="20"/>
          <w:u w:val="single"/>
        </w:rPr>
        <w:t xml:space="preserve">Derechos a recibir efectivo o equivalentes </w:t>
      </w:r>
    </w:p>
    <w:p w:rsidR="00007BA2" w:rsidRDefault="00007BA2" w:rsidP="00007BA2">
      <w:pPr>
        <w:pStyle w:val="Default"/>
        <w:jc w:val="both"/>
        <w:rPr>
          <w:sz w:val="20"/>
          <w:szCs w:val="20"/>
        </w:rPr>
      </w:pPr>
      <w:r w:rsidRPr="00581F1F">
        <w:rPr>
          <w:sz w:val="20"/>
          <w:szCs w:val="20"/>
        </w:rPr>
        <w:t xml:space="preserve">Al </w:t>
      </w:r>
      <w:r>
        <w:rPr>
          <w:sz w:val="20"/>
          <w:szCs w:val="20"/>
        </w:rPr>
        <w:t>3</w:t>
      </w:r>
      <w:r w:rsidR="005C43E0">
        <w:rPr>
          <w:sz w:val="20"/>
          <w:szCs w:val="20"/>
        </w:rPr>
        <w:t>1</w:t>
      </w:r>
      <w:r w:rsidRPr="00581F1F">
        <w:rPr>
          <w:sz w:val="20"/>
          <w:szCs w:val="20"/>
        </w:rPr>
        <w:t xml:space="preserve"> de </w:t>
      </w:r>
      <w:r w:rsidR="005C43E0">
        <w:rPr>
          <w:sz w:val="20"/>
          <w:szCs w:val="20"/>
        </w:rPr>
        <w:t>diciembre</w:t>
      </w:r>
      <w:r w:rsidRPr="00581F1F">
        <w:rPr>
          <w:sz w:val="20"/>
          <w:szCs w:val="20"/>
        </w:rPr>
        <w:t xml:space="preserve"> de 20</w:t>
      </w:r>
      <w:r w:rsidR="006A0E8D">
        <w:rPr>
          <w:sz w:val="20"/>
          <w:szCs w:val="20"/>
        </w:rPr>
        <w:t>20</w:t>
      </w:r>
      <w:r w:rsidRPr="00581F1F">
        <w:rPr>
          <w:sz w:val="20"/>
          <w:szCs w:val="20"/>
        </w:rPr>
        <w:t xml:space="preserve"> y 3</w:t>
      </w:r>
      <w:r w:rsidR="00D73043">
        <w:rPr>
          <w:sz w:val="20"/>
          <w:szCs w:val="20"/>
        </w:rPr>
        <w:t>0</w:t>
      </w:r>
      <w:r w:rsidRPr="00581F1F">
        <w:rPr>
          <w:sz w:val="20"/>
          <w:szCs w:val="20"/>
        </w:rPr>
        <w:t xml:space="preserve"> de </w:t>
      </w:r>
      <w:r w:rsidR="00FF4B22">
        <w:rPr>
          <w:sz w:val="20"/>
          <w:szCs w:val="20"/>
        </w:rPr>
        <w:t>septiembre</w:t>
      </w:r>
      <w:r w:rsidRPr="00581F1F">
        <w:rPr>
          <w:sz w:val="20"/>
          <w:szCs w:val="20"/>
        </w:rPr>
        <w:t xml:space="preserve"> de 20</w:t>
      </w:r>
      <w:r w:rsidR="00A131C2">
        <w:rPr>
          <w:sz w:val="20"/>
          <w:szCs w:val="20"/>
        </w:rPr>
        <w:t>21</w:t>
      </w:r>
      <w:r w:rsidRPr="00581F1F">
        <w:rPr>
          <w:sz w:val="20"/>
          <w:szCs w:val="20"/>
        </w:rPr>
        <w:t xml:space="preserve"> los derechos a recibir efectivo o equivalentes se integran de la siguiente manera:</w:t>
      </w:r>
    </w:p>
    <w:p w:rsidR="00ED2408" w:rsidRDefault="00ED2408" w:rsidP="00007BA2">
      <w:pPr>
        <w:pStyle w:val="Default"/>
        <w:jc w:val="both"/>
        <w:rPr>
          <w:sz w:val="20"/>
          <w:szCs w:val="20"/>
        </w:rPr>
      </w:pPr>
    </w:p>
    <w:p w:rsidR="00244533" w:rsidRDefault="00244533" w:rsidP="00007BA2">
      <w:pPr>
        <w:pStyle w:val="Default"/>
        <w:jc w:val="both"/>
        <w:rPr>
          <w:sz w:val="20"/>
          <w:szCs w:val="20"/>
        </w:rPr>
      </w:pPr>
    </w:p>
    <w:p w:rsidR="00007BA2" w:rsidRPr="00CC2BC5" w:rsidRDefault="00CC2BC5" w:rsidP="009306CB">
      <w:pPr>
        <w:pStyle w:val="Default"/>
        <w:jc w:val="both"/>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u w:val="single"/>
        </w:rPr>
        <w:t>20</w:t>
      </w:r>
      <w:r w:rsidR="00BC66BB">
        <w:rPr>
          <w:b/>
          <w:sz w:val="20"/>
          <w:szCs w:val="20"/>
          <w:u w:val="single"/>
        </w:rPr>
        <w:t>2</w:t>
      </w:r>
      <w:r w:rsidR="00A11AE1">
        <w:rPr>
          <w:b/>
          <w:sz w:val="20"/>
          <w:szCs w:val="20"/>
          <w:u w:val="single"/>
        </w:rPr>
        <w:t>1</w:t>
      </w:r>
      <w:r>
        <w:rPr>
          <w:sz w:val="20"/>
          <w:szCs w:val="20"/>
        </w:rPr>
        <w:tab/>
      </w:r>
      <w:r>
        <w:rPr>
          <w:sz w:val="20"/>
          <w:szCs w:val="20"/>
        </w:rPr>
        <w:tab/>
      </w:r>
      <w:r>
        <w:rPr>
          <w:sz w:val="20"/>
          <w:szCs w:val="20"/>
        </w:rPr>
        <w:tab/>
      </w:r>
      <w:r>
        <w:rPr>
          <w:b/>
          <w:sz w:val="20"/>
          <w:szCs w:val="20"/>
          <w:u w:val="single"/>
        </w:rPr>
        <w:t>20</w:t>
      </w:r>
      <w:r w:rsidR="00A131C2">
        <w:rPr>
          <w:b/>
          <w:sz w:val="20"/>
          <w:szCs w:val="20"/>
          <w:u w:val="single"/>
        </w:rPr>
        <w:t>20</w:t>
      </w:r>
    </w:p>
    <w:p w:rsidR="00007BA2" w:rsidRDefault="00007BA2" w:rsidP="009306CB">
      <w:pPr>
        <w:pStyle w:val="Default"/>
        <w:jc w:val="both"/>
        <w:rPr>
          <w:sz w:val="20"/>
          <w:szCs w:val="20"/>
        </w:rPr>
      </w:pPr>
    </w:p>
    <w:p w:rsidR="00007BA2" w:rsidRDefault="00CC2BC5" w:rsidP="009306CB">
      <w:pPr>
        <w:pStyle w:val="Default"/>
        <w:jc w:val="both"/>
        <w:rPr>
          <w:sz w:val="20"/>
          <w:szCs w:val="20"/>
        </w:rPr>
      </w:pPr>
      <w:r>
        <w:rPr>
          <w:sz w:val="20"/>
          <w:szCs w:val="20"/>
        </w:rPr>
        <w:t xml:space="preserve">Deudores Diversos:                                        </w:t>
      </w:r>
      <w:r w:rsidR="00FF4B22">
        <w:rPr>
          <w:sz w:val="20"/>
          <w:szCs w:val="20"/>
        </w:rPr>
        <w:t>1</w:t>
      </w:r>
      <w:r>
        <w:rPr>
          <w:sz w:val="20"/>
          <w:szCs w:val="20"/>
        </w:rPr>
        <w:t>´</w:t>
      </w:r>
      <w:r w:rsidR="00FF4B22">
        <w:rPr>
          <w:sz w:val="20"/>
          <w:szCs w:val="20"/>
        </w:rPr>
        <w:t>739</w:t>
      </w:r>
      <w:r>
        <w:rPr>
          <w:sz w:val="20"/>
          <w:szCs w:val="20"/>
        </w:rPr>
        <w:t>,</w:t>
      </w:r>
      <w:r w:rsidR="00FF4B22">
        <w:rPr>
          <w:sz w:val="20"/>
          <w:szCs w:val="20"/>
        </w:rPr>
        <w:t>841</w:t>
      </w:r>
      <w:r>
        <w:rPr>
          <w:sz w:val="20"/>
          <w:szCs w:val="20"/>
        </w:rPr>
        <w:t xml:space="preserve">.                       </w:t>
      </w:r>
      <w:r w:rsidR="008304A8">
        <w:rPr>
          <w:sz w:val="20"/>
          <w:szCs w:val="20"/>
        </w:rPr>
        <w:t>1´</w:t>
      </w:r>
      <w:r w:rsidR="00A131C2">
        <w:rPr>
          <w:sz w:val="20"/>
          <w:szCs w:val="20"/>
        </w:rPr>
        <w:t>425</w:t>
      </w:r>
      <w:r>
        <w:rPr>
          <w:sz w:val="20"/>
          <w:szCs w:val="20"/>
        </w:rPr>
        <w:t>.</w:t>
      </w:r>
      <w:r w:rsidR="00A131C2">
        <w:rPr>
          <w:sz w:val="20"/>
          <w:szCs w:val="20"/>
        </w:rPr>
        <w:t>394.</w:t>
      </w:r>
    </w:p>
    <w:p w:rsidR="00007BA2" w:rsidRPr="00581F1F" w:rsidRDefault="00F307CE" w:rsidP="009306CB">
      <w:pPr>
        <w:pStyle w:val="Default"/>
        <w:jc w:val="both"/>
        <w:rPr>
          <w:sz w:val="20"/>
          <w:szCs w:val="20"/>
        </w:rPr>
      </w:pPr>
      <w:r>
        <w:rPr>
          <w:sz w:val="20"/>
          <w:szCs w:val="20"/>
        </w:rPr>
        <w:t xml:space="preserve">Préstamos otorgados </w:t>
      </w:r>
      <w:r>
        <w:rPr>
          <w:sz w:val="20"/>
          <w:szCs w:val="20"/>
        </w:rPr>
        <w:tab/>
      </w:r>
      <w:r>
        <w:rPr>
          <w:sz w:val="20"/>
          <w:szCs w:val="20"/>
        </w:rPr>
        <w:tab/>
      </w:r>
      <w:r>
        <w:rPr>
          <w:sz w:val="20"/>
          <w:szCs w:val="20"/>
        </w:rPr>
        <w:tab/>
        <w:t xml:space="preserve">      </w:t>
      </w:r>
      <w:r w:rsidR="001F275D">
        <w:rPr>
          <w:sz w:val="20"/>
          <w:szCs w:val="20"/>
        </w:rPr>
        <w:t>5</w:t>
      </w:r>
      <w:r w:rsidR="007445E0">
        <w:rPr>
          <w:sz w:val="20"/>
          <w:szCs w:val="20"/>
        </w:rPr>
        <w:t>0</w:t>
      </w:r>
      <w:r>
        <w:rPr>
          <w:sz w:val="20"/>
          <w:szCs w:val="20"/>
        </w:rPr>
        <w:t>´</w:t>
      </w:r>
      <w:r w:rsidR="00FF4B22">
        <w:rPr>
          <w:sz w:val="20"/>
          <w:szCs w:val="20"/>
        </w:rPr>
        <w:t>875</w:t>
      </w:r>
      <w:r>
        <w:rPr>
          <w:sz w:val="20"/>
          <w:szCs w:val="20"/>
        </w:rPr>
        <w:t>,</w:t>
      </w:r>
      <w:r w:rsidR="00FF4B22">
        <w:rPr>
          <w:sz w:val="20"/>
          <w:szCs w:val="20"/>
        </w:rPr>
        <w:t>427</w:t>
      </w:r>
      <w:r>
        <w:rPr>
          <w:sz w:val="20"/>
          <w:szCs w:val="20"/>
        </w:rPr>
        <w:t>.</w:t>
      </w:r>
      <w:r>
        <w:rPr>
          <w:sz w:val="20"/>
          <w:szCs w:val="20"/>
        </w:rPr>
        <w:tab/>
      </w:r>
      <w:r>
        <w:rPr>
          <w:sz w:val="20"/>
          <w:szCs w:val="20"/>
        </w:rPr>
        <w:tab/>
        <w:t xml:space="preserve">      </w:t>
      </w:r>
      <w:r w:rsidR="008304A8">
        <w:rPr>
          <w:sz w:val="20"/>
          <w:szCs w:val="20"/>
        </w:rPr>
        <w:t xml:space="preserve"> </w:t>
      </w:r>
      <w:r>
        <w:rPr>
          <w:sz w:val="20"/>
          <w:szCs w:val="20"/>
        </w:rPr>
        <w:t xml:space="preserve"> </w:t>
      </w:r>
      <w:r w:rsidR="00A131C2">
        <w:rPr>
          <w:sz w:val="20"/>
          <w:szCs w:val="20"/>
        </w:rPr>
        <w:t>50</w:t>
      </w:r>
      <w:r>
        <w:rPr>
          <w:sz w:val="20"/>
          <w:szCs w:val="20"/>
        </w:rPr>
        <w:t>´</w:t>
      </w:r>
      <w:r w:rsidR="00A131C2">
        <w:rPr>
          <w:sz w:val="20"/>
          <w:szCs w:val="20"/>
        </w:rPr>
        <w:t>492</w:t>
      </w:r>
      <w:r>
        <w:rPr>
          <w:sz w:val="20"/>
          <w:szCs w:val="20"/>
        </w:rPr>
        <w:t>,</w:t>
      </w:r>
      <w:r w:rsidR="00A131C2">
        <w:rPr>
          <w:sz w:val="20"/>
          <w:szCs w:val="20"/>
        </w:rPr>
        <w:t>912</w:t>
      </w:r>
      <w:r>
        <w:rPr>
          <w:sz w:val="20"/>
          <w:szCs w:val="20"/>
        </w:rPr>
        <w:t>.</w:t>
      </w:r>
      <w:r>
        <w:rPr>
          <w:sz w:val="20"/>
          <w:szCs w:val="20"/>
        </w:rPr>
        <w:tab/>
      </w:r>
      <w:r>
        <w:rPr>
          <w:sz w:val="20"/>
          <w:szCs w:val="20"/>
        </w:rPr>
        <w:tab/>
      </w:r>
    </w:p>
    <w:p w:rsidR="00B934C3" w:rsidRDefault="008F4181" w:rsidP="009306CB">
      <w:pPr>
        <w:pStyle w:val="Default"/>
        <w:jc w:val="both"/>
        <w:rPr>
          <w:sz w:val="20"/>
          <w:szCs w:val="20"/>
          <w:lang w:eastAsia="es-MX"/>
        </w:rPr>
      </w:pPr>
      <w:r w:rsidRPr="00C84B55">
        <w:rPr>
          <w:sz w:val="20"/>
          <w:szCs w:val="20"/>
          <w:lang w:eastAsia="es-MX"/>
        </w:rPr>
        <w:lastRenderedPageBreak/>
        <w:t>A continuación se presenta la desagregación por vencimientos de la cartera de créditos</w:t>
      </w:r>
      <w:r w:rsidRPr="001433FC">
        <w:rPr>
          <w:sz w:val="20"/>
          <w:szCs w:val="20"/>
          <w:lang w:eastAsia="es-MX"/>
        </w:rPr>
        <w:t>:</w:t>
      </w:r>
    </w:p>
    <w:p w:rsidR="008F4181" w:rsidRDefault="008F4181" w:rsidP="009306CB">
      <w:pPr>
        <w:pStyle w:val="Default"/>
        <w:jc w:val="both"/>
        <w:rPr>
          <w:sz w:val="20"/>
          <w:szCs w:val="20"/>
          <w:lang w:eastAsia="es-MX"/>
        </w:rPr>
      </w:pPr>
    </w:p>
    <w:tbl>
      <w:tblPr>
        <w:tblW w:w="9428" w:type="dxa"/>
        <w:tblCellMar>
          <w:left w:w="0" w:type="dxa"/>
          <w:right w:w="0" w:type="dxa"/>
        </w:tblCellMar>
        <w:tblLook w:val="04A0" w:firstRow="1" w:lastRow="0" w:firstColumn="1" w:lastColumn="0" w:noHBand="0" w:noVBand="1"/>
      </w:tblPr>
      <w:tblGrid>
        <w:gridCol w:w="2207"/>
        <w:gridCol w:w="1332"/>
        <w:gridCol w:w="1418"/>
        <w:gridCol w:w="2551"/>
        <w:gridCol w:w="1920"/>
      </w:tblGrid>
      <w:tr w:rsidR="008F4181" w:rsidRPr="00FE309E" w:rsidTr="00C84B55">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181" w:rsidRPr="00FE309E" w:rsidRDefault="008F4181" w:rsidP="00C84B55">
            <w:pPr>
              <w:rPr>
                <w:lang w:eastAsia="es-MX"/>
              </w:rPr>
            </w:pPr>
            <w:r w:rsidRPr="00FE309E">
              <w:rPr>
                <w:lang w:eastAsia="es-MX"/>
              </w:rPr>
              <w:t>Préstamos otorgados</w:t>
            </w:r>
          </w:p>
          <w:p w:rsidR="008F4181" w:rsidRPr="00FE309E" w:rsidRDefault="008F4181" w:rsidP="00925CB1">
            <w:pPr>
              <w:rPr>
                <w:lang w:eastAsia="es-MX"/>
              </w:rPr>
            </w:pPr>
            <w:r w:rsidRPr="00FE309E">
              <w:rPr>
                <w:lang w:eastAsia="es-MX"/>
              </w:rPr>
              <w:t>$5</w:t>
            </w:r>
            <w:r>
              <w:rPr>
                <w:lang w:eastAsia="es-MX"/>
              </w:rPr>
              <w:t>0</w:t>
            </w:r>
            <w:r w:rsidRPr="00FE309E">
              <w:rPr>
                <w:lang w:eastAsia="es-MX"/>
              </w:rPr>
              <w:t>´</w:t>
            </w:r>
            <w:r w:rsidR="00925CB1">
              <w:rPr>
                <w:lang w:eastAsia="es-MX"/>
              </w:rPr>
              <w:t>875</w:t>
            </w:r>
            <w:r w:rsidRPr="00FE309E">
              <w:rPr>
                <w:lang w:eastAsia="es-MX"/>
              </w:rPr>
              <w:t>,</w:t>
            </w:r>
            <w:r w:rsidR="00925CB1">
              <w:rPr>
                <w:lang w:eastAsia="es-MX"/>
              </w:rPr>
              <w:t>427</w:t>
            </w:r>
            <w:r w:rsidRPr="00FE309E">
              <w:rPr>
                <w:lang w:eastAsia="es-MX"/>
              </w:rPr>
              <w:t>.</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181" w:rsidRDefault="008F4181" w:rsidP="00C84B55">
            <w:pPr>
              <w:rPr>
                <w:lang w:eastAsia="es-MX"/>
              </w:rPr>
            </w:pPr>
            <w:r w:rsidRPr="00FE309E">
              <w:rPr>
                <w:lang w:eastAsia="es-MX"/>
              </w:rPr>
              <w:t>A 90 días</w:t>
            </w:r>
          </w:p>
          <w:p w:rsidR="00C84B55" w:rsidRPr="00FE309E" w:rsidRDefault="00C84B55" w:rsidP="00925CB1">
            <w:pPr>
              <w:rPr>
                <w:lang w:eastAsia="es-MX"/>
              </w:rPr>
            </w:pPr>
            <w:r>
              <w:rPr>
                <w:lang w:eastAsia="es-MX"/>
              </w:rPr>
              <w:t>$17´</w:t>
            </w:r>
            <w:r w:rsidR="00925CB1">
              <w:rPr>
                <w:lang w:eastAsia="es-MX"/>
              </w:rPr>
              <w:t>790</w:t>
            </w:r>
            <w:r>
              <w:rPr>
                <w:lang w:eastAsia="es-MX"/>
              </w:rPr>
              <w: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181" w:rsidRDefault="008F4181" w:rsidP="00C84B55">
            <w:pPr>
              <w:rPr>
                <w:lang w:eastAsia="es-MX"/>
              </w:rPr>
            </w:pPr>
            <w:r w:rsidRPr="00FE309E">
              <w:rPr>
                <w:lang w:eastAsia="es-MX"/>
              </w:rPr>
              <w:t>A 180 días</w:t>
            </w:r>
          </w:p>
          <w:p w:rsidR="00C84B55" w:rsidRPr="00FE309E" w:rsidRDefault="00C84B55" w:rsidP="00C84B55">
            <w:pPr>
              <w:rPr>
                <w:lang w:eastAsia="es-MX"/>
              </w:rPr>
            </w:pPr>
            <w:r>
              <w:rPr>
                <w:lang w:eastAsia="es-MX"/>
              </w:rPr>
              <w:t>800.</w:t>
            </w:r>
            <w:r w:rsidR="00925CB1">
              <w:rPr>
                <w:lang w:eastAsia="es-MX"/>
              </w:rPr>
              <w:t>000</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181" w:rsidRDefault="008F4181" w:rsidP="00C84B55">
            <w:pPr>
              <w:rPr>
                <w:lang w:eastAsia="es-MX"/>
              </w:rPr>
            </w:pPr>
            <w:r w:rsidRPr="00FE309E">
              <w:rPr>
                <w:lang w:eastAsia="es-MX"/>
              </w:rPr>
              <w:t>Menor o igual a 365 días</w:t>
            </w:r>
            <w:r w:rsidR="00C84B55">
              <w:rPr>
                <w:lang w:eastAsia="es-MX"/>
              </w:rPr>
              <w:t>.</w:t>
            </w:r>
          </w:p>
          <w:p w:rsidR="00C84B55" w:rsidRPr="00FE309E" w:rsidRDefault="00C84B55" w:rsidP="00C84B55">
            <w:pPr>
              <w:rPr>
                <w:lang w:eastAsia="es-MX"/>
              </w:rPr>
            </w:pPr>
            <w:r>
              <w:rPr>
                <w:lang w:eastAsia="es-MX"/>
              </w:rPr>
              <w:t>$2´547.</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181" w:rsidRDefault="008F4181" w:rsidP="00C84B55">
            <w:pPr>
              <w:rPr>
                <w:lang w:eastAsia="es-MX"/>
              </w:rPr>
            </w:pPr>
            <w:r w:rsidRPr="00FE309E">
              <w:rPr>
                <w:lang w:eastAsia="es-MX"/>
              </w:rPr>
              <w:t>Mayor a 365 días</w:t>
            </w:r>
          </w:p>
          <w:p w:rsidR="00C84B55" w:rsidRPr="00FE309E" w:rsidRDefault="00C84B55" w:rsidP="00C84B55">
            <w:pPr>
              <w:rPr>
                <w:lang w:eastAsia="es-MX"/>
              </w:rPr>
            </w:pPr>
            <w:r>
              <w:rPr>
                <w:lang w:eastAsia="es-MX"/>
              </w:rPr>
              <w:t>$29´739.</w:t>
            </w:r>
          </w:p>
        </w:tc>
      </w:tr>
    </w:tbl>
    <w:p w:rsidR="008F4181" w:rsidRDefault="008F4181" w:rsidP="009306CB">
      <w:pPr>
        <w:pStyle w:val="Default"/>
        <w:jc w:val="both"/>
        <w:rPr>
          <w:sz w:val="20"/>
          <w:szCs w:val="20"/>
          <w:lang w:eastAsia="es-MX"/>
        </w:rPr>
      </w:pPr>
    </w:p>
    <w:p w:rsidR="008F4181" w:rsidRDefault="008F4181" w:rsidP="009306CB">
      <w:pPr>
        <w:pStyle w:val="Default"/>
        <w:jc w:val="both"/>
        <w:rPr>
          <w:sz w:val="20"/>
          <w:szCs w:val="20"/>
          <w:lang w:eastAsia="es-MX"/>
        </w:rPr>
      </w:pPr>
    </w:p>
    <w:p w:rsidR="008F4181" w:rsidRDefault="008F4181" w:rsidP="009306CB">
      <w:pPr>
        <w:pStyle w:val="Default"/>
        <w:jc w:val="both"/>
        <w:rPr>
          <w:sz w:val="20"/>
          <w:szCs w:val="20"/>
          <w:lang w:eastAsia="es-MX"/>
        </w:rPr>
      </w:pPr>
    </w:p>
    <w:p w:rsidR="00B934C3" w:rsidRDefault="002801C6" w:rsidP="009306CB">
      <w:pPr>
        <w:pStyle w:val="Default"/>
        <w:jc w:val="both"/>
        <w:rPr>
          <w:b/>
          <w:sz w:val="20"/>
          <w:szCs w:val="20"/>
          <w:u w:val="single"/>
          <w:lang w:eastAsia="es-MX"/>
        </w:rPr>
      </w:pPr>
      <w:r>
        <w:rPr>
          <w:b/>
          <w:sz w:val="20"/>
          <w:szCs w:val="20"/>
          <w:u w:val="single"/>
          <w:lang w:eastAsia="es-MX"/>
        </w:rPr>
        <w:t>Fideicomisos y Mandatos:</w:t>
      </w:r>
    </w:p>
    <w:p w:rsidR="002801C6" w:rsidRDefault="002801C6" w:rsidP="009306CB">
      <w:pPr>
        <w:pStyle w:val="Default"/>
        <w:jc w:val="both"/>
        <w:rPr>
          <w:b/>
          <w:sz w:val="20"/>
          <w:szCs w:val="20"/>
          <w:u w:val="single"/>
          <w:lang w:eastAsia="es-MX"/>
        </w:rPr>
      </w:pPr>
    </w:p>
    <w:p w:rsidR="002801C6" w:rsidRDefault="002801C6" w:rsidP="009306CB">
      <w:pPr>
        <w:pStyle w:val="Default"/>
        <w:jc w:val="both"/>
        <w:rPr>
          <w:sz w:val="20"/>
          <w:szCs w:val="20"/>
          <w:lang w:eastAsia="es-MX"/>
        </w:rPr>
      </w:pPr>
      <w:r>
        <w:rPr>
          <w:sz w:val="20"/>
          <w:szCs w:val="20"/>
          <w:lang w:eastAsia="es-MX"/>
        </w:rPr>
        <w:t>El Fideicomiso celebró convenio de colaboración para el otorgamiento de garantías</w:t>
      </w:r>
      <w:r w:rsidR="00150330">
        <w:rPr>
          <w:sz w:val="20"/>
          <w:szCs w:val="20"/>
          <w:lang w:eastAsia="es-MX"/>
        </w:rPr>
        <w:t xml:space="preserve"> con el Fondo Especial de Asistencia Técnica y Garantía para Créditos Agropecuarios (FEGA), Fideicomiso público integrante del FIRA por la cantidad de: $10´000,000.00</w:t>
      </w:r>
      <w:r>
        <w:rPr>
          <w:sz w:val="20"/>
          <w:szCs w:val="20"/>
          <w:lang w:eastAsia="es-MX"/>
        </w:rPr>
        <w:t xml:space="preserve"> </w:t>
      </w:r>
    </w:p>
    <w:p w:rsidR="00150330" w:rsidRPr="002801C6" w:rsidRDefault="00150330" w:rsidP="009306CB">
      <w:pPr>
        <w:pStyle w:val="Default"/>
        <w:jc w:val="both"/>
        <w:rPr>
          <w:sz w:val="20"/>
          <w:szCs w:val="20"/>
          <w:lang w:eastAsia="es-MX"/>
        </w:rPr>
      </w:pPr>
    </w:p>
    <w:p w:rsidR="00B934C3" w:rsidRDefault="00B934C3" w:rsidP="009306CB">
      <w:pPr>
        <w:pStyle w:val="Default"/>
        <w:jc w:val="both"/>
        <w:rPr>
          <w:sz w:val="20"/>
          <w:szCs w:val="20"/>
          <w:lang w:eastAsia="es-MX"/>
        </w:rPr>
      </w:pPr>
    </w:p>
    <w:p w:rsidR="009306CB" w:rsidRPr="00581F1F" w:rsidRDefault="009306CB" w:rsidP="00007BA2">
      <w:pPr>
        <w:pStyle w:val="Default"/>
        <w:numPr>
          <w:ilvl w:val="0"/>
          <w:numId w:val="25"/>
        </w:numPr>
        <w:jc w:val="both"/>
        <w:rPr>
          <w:b/>
          <w:sz w:val="20"/>
          <w:szCs w:val="20"/>
          <w:u w:val="single"/>
        </w:rPr>
      </w:pPr>
      <w:r w:rsidRPr="00581F1F">
        <w:rPr>
          <w:b/>
          <w:sz w:val="20"/>
          <w:szCs w:val="20"/>
          <w:u w:val="single"/>
        </w:rPr>
        <w:t>Bienes muebles e intangibles</w:t>
      </w:r>
    </w:p>
    <w:p w:rsidR="009306CB" w:rsidRPr="00581F1F" w:rsidRDefault="009306CB" w:rsidP="009306CB">
      <w:pPr>
        <w:pStyle w:val="Default"/>
        <w:jc w:val="both"/>
        <w:rPr>
          <w:sz w:val="20"/>
          <w:szCs w:val="20"/>
        </w:rPr>
      </w:pPr>
      <w:r w:rsidRPr="00581F1F">
        <w:rPr>
          <w:sz w:val="20"/>
          <w:szCs w:val="20"/>
        </w:rPr>
        <w:t>Los bienes muebles y activos intangibles se registran al costo de adquisición, incluidos los aranceles de importación y los impuestos indirectos no recuperables que recaigan sobre la adquisición, después de deducir cualquier descuento o rebaja del precio.</w:t>
      </w:r>
    </w:p>
    <w:p w:rsidR="009306CB" w:rsidRPr="00581F1F" w:rsidRDefault="009306CB" w:rsidP="009306CB">
      <w:pPr>
        <w:pStyle w:val="Default"/>
        <w:jc w:val="both"/>
        <w:rPr>
          <w:sz w:val="20"/>
          <w:szCs w:val="20"/>
        </w:rPr>
      </w:pPr>
    </w:p>
    <w:p w:rsidR="009306CB" w:rsidRPr="00581F1F" w:rsidRDefault="009306CB" w:rsidP="009306CB">
      <w:pPr>
        <w:pStyle w:val="Default"/>
        <w:jc w:val="both"/>
        <w:rPr>
          <w:sz w:val="20"/>
          <w:szCs w:val="20"/>
        </w:rPr>
      </w:pPr>
      <w:r w:rsidRPr="00581F1F">
        <w:rPr>
          <w:sz w:val="20"/>
          <w:szCs w:val="20"/>
        </w:rPr>
        <w:t xml:space="preserve">Los bienes muebles y activos  intangibles, cuyo costo unitario de adquisición sea menor a 35 días de salario mínimo vigente en </w:t>
      </w:r>
      <w:r w:rsidR="003667AD">
        <w:rPr>
          <w:sz w:val="20"/>
          <w:szCs w:val="20"/>
        </w:rPr>
        <w:t>la Ciudad de México</w:t>
      </w:r>
      <w:r w:rsidRPr="00581F1F">
        <w:rPr>
          <w:sz w:val="20"/>
          <w:szCs w:val="20"/>
        </w:rPr>
        <w:t>, se registran contablemente como un gasto.</w:t>
      </w:r>
    </w:p>
    <w:p w:rsidR="009306CB" w:rsidRPr="00581F1F" w:rsidRDefault="009306CB" w:rsidP="009306CB">
      <w:pPr>
        <w:pStyle w:val="Default"/>
        <w:jc w:val="both"/>
        <w:rPr>
          <w:sz w:val="20"/>
          <w:szCs w:val="20"/>
        </w:rPr>
      </w:pPr>
    </w:p>
    <w:p w:rsidR="009306CB" w:rsidRPr="00581F1F" w:rsidRDefault="009306CB" w:rsidP="009306CB">
      <w:pPr>
        <w:pStyle w:val="Default"/>
        <w:jc w:val="both"/>
        <w:rPr>
          <w:sz w:val="20"/>
          <w:szCs w:val="20"/>
        </w:rPr>
      </w:pPr>
      <w:r w:rsidRPr="00581F1F">
        <w:rPr>
          <w:sz w:val="20"/>
          <w:szCs w:val="20"/>
        </w:rPr>
        <w:t>Los bienes muebles y activos intangibles, cuyo costo unitario de adquisición sea igual o mayor a 35 días de salario mínimo vigente en el Distrito Federal, se registrarán contablemente como un aumento en el activo no circulante.</w:t>
      </w:r>
    </w:p>
    <w:p w:rsidR="009306CB" w:rsidRPr="00581F1F" w:rsidRDefault="009306CB" w:rsidP="009306CB">
      <w:pPr>
        <w:pStyle w:val="Default"/>
        <w:jc w:val="both"/>
        <w:rPr>
          <w:sz w:val="16"/>
          <w:szCs w:val="16"/>
        </w:rPr>
      </w:pPr>
    </w:p>
    <w:p w:rsidR="009306CB" w:rsidRPr="00581F1F" w:rsidRDefault="009306CB" w:rsidP="009306CB">
      <w:pPr>
        <w:pStyle w:val="Default"/>
        <w:jc w:val="both"/>
        <w:rPr>
          <w:sz w:val="20"/>
          <w:szCs w:val="20"/>
        </w:rPr>
      </w:pPr>
      <w:r w:rsidRPr="00581F1F">
        <w:rPr>
          <w:sz w:val="20"/>
          <w:szCs w:val="20"/>
        </w:rPr>
        <w:t>La depreciación y amortización de los bienes muebles y activos intangibles se calcula considerando el costo de adquisición del activo depreciable, menos su valor de desecho, entre los años correspondientes a su vida útil o su vida económica. Los porcentajes anuales de depreciación y amortización se muestran a continuación:</w:t>
      </w:r>
    </w:p>
    <w:p w:rsidR="009306CB" w:rsidRPr="00581F1F" w:rsidRDefault="009306CB" w:rsidP="009306CB">
      <w:pPr>
        <w:pStyle w:val="Default"/>
        <w:jc w:val="both"/>
        <w:rPr>
          <w:sz w:val="16"/>
          <w:szCs w:val="16"/>
        </w:rPr>
      </w:pPr>
    </w:p>
    <w:tbl>
      <w:tblPr>
        <w:tblW w:w="8940" w:type="dxa"/>
        <w:jc w:val="center"/>
        <w:tblCellMar>
          <w:left w:w="70" w:type="dxa"/>
          <w:right w:w="70" w:type="dxa"/>
        </w:tblCellMar>
        <w:tblLook w:val="04A0" w:firstRow="1" w:lastRow="0" w:firstColumn="1" w:lastColumn="0" w:noHBand="0" w:noVBand="1"/>
      </w:tblPr>
      <w:tblGrid>
        <w:gridCol w:w="1200"/>
        <w:gridCol w:w="1200"/>
        <w:gridCol w:w="1520"/>
        <w:gridCol w:w="1620"/>
        <w:gridCol w:w="1660"/>
        <w:gridCol w:w="1740"/>
      </w:tblGrid>
      <w:tr w:rsidR="009306CB" w:rsidRPr="00581F1F" w:rsidTr="009306CB">
        <w:trPr>
          <w:trHeight w:val="285"/>
          <w:jc w:val="center"/>
        </w:trPr>
        <w:tc>
          <w:tcPr>
            <w:tcW w:w="120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20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5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u w:val="single"/>
                <w:lang w:val="es-MX" w:eastAsia="es-MX"/>
              </w:rPr>
            </w:pPr>
            <w:r w:rsidRPr="00581F1F">
              <w:rPr>
                <w:rFonts w:ascii="Arial" w:hAnsi="Arial" w:cs="Arial"/>
                <w:color w:val="000000"/>
                <w:sz w:val="20"/>
                <w:szCs w:val="20"/>
                <w:u w:val="single"/>
                <w:lang w:val="es-MX" w:eastAsia="es-MX"/>
              </w:rPr>
              <w:t>%</w:t>
            </w:r>
          </w:p>
        </w:tc>
      </w:tr>
      <w:tr w:rsidR="009306CB" w:rsidRPr="00581F1F" w:rsidTr="009306CB">
        <w:trPr>
          <w:trHeight w:val="285"/>
          <w:jc w:val="center"/>
        </w:trPr>
        <w:tc>
          <w:tcPr>
            <w:tcW w:w="3920" w:type="dxa"/>
            <w:gridSpan w:val="3"/>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Muebles de oficina y estantería</w:t>
            </w: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5540" w:type="dxa"/>
            <w:gridSpan w:val="4"/>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Equipo de cómputo y tecnologías de la información</w:t>
            </w: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052840">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3</w:t>
            </w:r>
            <w:r w:rsidR="00052840">
              <w:rPr>
                <w:rFonts w:ascii="Arial" w:hAnsi="Arial" w:cs="Arial"/>
                <w:color w:val="000000"/>
                <w:sz w:val="20"/>
                <w:szCs w:val="20"/>
                <w:lang w:val="es-MX" w:eastAsia="es-MX"/>
              </w:rPr>
              <w:t>3.3</w:t>
            </w:r>
          </w:p>
        </w:tc>
      </w:tr>
      <w:tr w:rsidR="009306CB" w:rsidRPr="00581F1F" w:rsidTr="009306CB">
        <w:trPr>
          <w:trHeight w:val="285"/>
          <w:jc w:val="center"/>
        </w:trPr>
        <w:tc>
          <w:tcPr>
            <w:tcW w:w="5540" w:type="dxa"/>
            <w:gridSpan w:val="4"/>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Otros mobiliarios y equipo de administración</w:t>
            </w: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3920" w:type="dxa"/>
            <w:gridSpan w:val="3"/>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Automóviles y equipo terrestre</w:t>
            </w: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25</w:t>
            </w:r>
          </w:p>
        </w:tc>
      </w:tr>
      <w:tr w:rsidR="009306CB" w:rsidRPr="00581F1F" w:rsidTr="009306CB">
        <w:trPr>
          <w:trHeight w:val="285"/>
          <w:jc w:val="center"/>
        </w:trPr>
        <w:tc>
          <w:tcPr>
            <w:tcW w:w="7200" w:type="dxa"/>
            <w:gridSpan w:val="5"/>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Sistemas de aire acondicionado, calefacción y refrigeración</w:t>
            </w: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5540" w:type="dxa"/>
            <w:gridSpan w:val="4"/>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Equipo de comunicación y telecomunicación</w:t>
            </w: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2400" w:type="dxa"/>
            <w:gridSpan w:val="2"/>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Otros equipos</w:t>
            </w:r>
          </w:p>
        </w:tc>
        <w:tc>
          <w:tcPr>
            <w:tcW w:w="15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120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Software</w:t>
            </w:r>
          </w:p>
        </w:tc>
        <w:tc>
          <w:tcPr>
            <w:tcW w:w="120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5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30</w:t>
            </w:r>
          </w:p>
        </w:tc>
      </w:tr>
    </w:tbl>
    <w:p w:rsidR="009306CB" w:rsidRPr="00581F1F" w:rsidRDefault="009306CB" w:rsidP="009306CB">
      <w:pPr>
        <w:pStyle w:val="Default"/>
        <w:jc w:val="center"/>
        <w:rPr>
          <w:sz w:val="16"/>
          <w:szCs w:val="16"/>
        </w:rPr>
      </w:pPr>
    </w:p>
    <w:p w:rsidR="009306CB" w:rsidRPr="00581F1F" w:rsidRDefault="009306CB" w:rsidP="009306CB">
      <w:pPr>
        <w:pStyle w:val="Default"/>
        <w:jc w:val="both"/>
        <w:rPr>
          <w:sz w:val="20"/>
          <w:szCs w:val="20"/>
        </w:rPr>
      </w:pPr>
      <w:r w:rsidRPr="00581F1F">
        <w:rPr>
          <w:sz w:val="20"/>
          <w:szCs w:val="20"/>
        </w:rPr>
        <w:t xml:space="preserve">Los bienes muebles y activos intangibles al </w:t>
      </w:r>
      <w:r w:rsidR="0070456A">
        <w:rPr>
          <w:sz w:val="20"/>
          <w:szCs w:val="20"/>
        </w:rPr>
        <w:t>3</w:t>
      </w:r>
      <w:r w:rsidR="00FA435F">
        <w:rPr>
          <w:sz w:val="20"/>
          <w:szCs w:val="20"/>
        </w:rPr>
        <w:t>1</w:t>
      </w:r>
      <w:r w:rsidRPr="00581F1F">
        <w:rPr>
          <w:sz w:val="20"/>
          <w:szCs w:val="20"/>
        </w:rPr>
        <w:t xml:space="preserve"> de </w:t>
      </w:r>
      <w:r w:rsidR="00FA435F">
        <w:rPr>
          <w:sz w:val="20"/>
          <w:szCs w:val="20"/>
        </w:rPr>
        <w:t>diciembre</w:t>
      </w:r>
      <w:r w:rsidRPr="00581F1F">
        <w:rPr>
          <w:sz w:val="20"/>
          <w:szCs w:val="20"/>
        </w:rPr>
        <w:t xml:space="preserve"> de 20</w:t>
      </w:r>
      <w:r w:rsidR="00BC66BB">
        <w:rPr>
          <w:sz w:val="20"/>
          <w:szCs w:val="20"/>
        </w:rPr>
        <w:t>20</w:t>
      </w:r>
      <w:r w:rsidRPr="00581F1F">
        <w:rPr>
          <w:sz w:val="20"/>
          <w:szCs w:val="20"/>
        </w:rPr>
        <w:t xml:space="preserve"> y </w:t>
      </w:r>
      <w:r w:rsidR="00A71B86" w:rsidRPr="00581F1F">
        <w:rPr>
          <w:sz w:val="20"/>
          <w:szCs w:val="20"/>
        </w:rPr>
        <w:t>3</w:t>
      </w:r>
      <w:r w:rsidR="007445E0">
        <w:rPr>
          <w:sz w:val="20"/>
          <w:szCs w:val="20"/>
        </w:rPr>
        <w:t>0</w:t>
      </w:r>
      <w:r w:rsidR="00A71B86" w:rsidRPr="00581F1F">
        <w:rPr>
          <w:sz w:val="20"/>
          <w:szCs w:val="20"/>
        </w:rPr>
        <w:t xml:space="preserve"> de </w:t>
      </w:r>
      <w:r w:rsidR="00C82CDD">
        <w:rPr>
          <w:sz w:val="20"/>
          <w:szCs w:val="20"/>
        </w:rPr>
        <w:t>septiembre</w:t>
      </w:r>
      <w:r w:rsidR="00A71B86" w:rsidRPr="00581F1F">
        <w:rPr>
          <w:sz w:val="20"/>
          <w:szCs w:val="20"/>
        </w:rPr>
        <w:t xml:space="preserve"> de </w:t>
      </w:r>
      <w:r w:rsidRPr="00581F1F">
        <w:rPr>
          <w:sz w:val="20"/>
          <w:szCs w:val="20"/>
        </w:rPr>
        <w:t>20</w:t>
      </w:r>
      <w:r w:rsidR="00B4366A">
        <w:rPr>
          <w:sz w:val="20"/>
          <w:szCs w:val="20"/>
        </w:rPr>
        <w:t>21</w:t>
      </w:r>
      <w:r w:rsidRPr="00581F1F">
        <w:rPr>
          <w:sz w:val="20"/>
          <w:szCs w:val="20"/>
        </w:rPr>
        <w:t xml:space="preserve"> se integran como sigue:</w:t>
      </w:r>
    </w:p>
    <w:p w:rsidR="009306CB" w:rsidRPr="00581F1F" w:rsidRDefault="009306CB" w:rsidP="009306CB">
      <w:pPr>
        <w:pStyle w:val="Default"/>
        <w:jc w:val="both"/>
        <w:rPr>
          <w:sz w:val="16"/>
          <w:szCs w:val="16"/>
        </w:rPr>
      </w:pPr>
    </w:p>
    <w:tbl>
      <w:tblPr>
        <w:tblW w:w="0" w:type="auto"/>
        <w:tblCellMar>
          <w:left w:w="70" w:type="dxa"/>
          <w:right w:w="70" w:type="dxa"/>
        </w:tblCellMar>
        <w:tblLook w:val="04A0" w:firstRow="1" w:lastRow="0" w:firstColumn="1" w:lastColumn="0" w:noHBand="0" w:noVBand="1"/>
      </w:tblPr>
      <w:tblGrid>
        <w:gridCol w:w="1807"/>
        <w:gridCol w:w="1346"/>
        <w:gridCol w:w="1077"/>
        <w:gridCol w:w="1077"/>
        <w:gridCol w:w="146"/>
        <w:gridCol w:w="1253"/>
        <w:gridCol w:w="146"/>
        <w:gridCol w:w="1253"/>
      </w:tblGrid>
      <w:tr w:rsidR="003D3B23" w:rsidRPr="00581F1F" w:rsidTr="0016350B">
        <w:trPr>
          <w:trHeight w:val="300"/>
        </w:trPr>
        <w:tc>
          <w:tcPr>
            <w:tcW w:w="0" w:type="auto"/>
            <w:tcBorders>
              <w:top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A11AE1">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w:t>
            </w:r>
            <w:r w:rsidR="00A11AE1">
              <w:rPr>
                <w:rFonts w:ascii="Arial" w:hAnsi="Arial" w:cs="Arial"/>
                <w:b/>
                <w:bCs/>
                <w:color w:val="000000"/>
                <w:sz w:val="20"/>
                <w:szCs w:val="20"/>
                <w:u w:val="single"/>
                <w:lang w:val="es-MX" w:eastAsia="es-MX"/>
              </w:rPr>
              <w:t>1</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504EE2" w:rsidP="00A131C2">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A131C2">
              <w:rPr>
                <w:rFonts w:ascii="Arial" w:hAnsi="Arial" w:cs="Arial"/>
                <w:b/>
                <w:bCs/>
                <w:color w:val="000000"/>
                <w:sz w:val="20"/>
                <w:szCs w:val="20"/>
                <w:u w:val="single"/>
                <w:lang w:val="es-MX" w:eastAsia="es-MX"/>
              </w:rPr>
              <w:t>20</w:t>
            </w:r>
          </w:p>
        </w:tc>
      </w:tr>
      <w:tr w:rsidR="003D3B23" w:rsidRPr="00581F1F" w:rsidTr="0016350B">
        <w:trPr>
          <w:trHeight w:val="285"/>
        </w:trPr>
        <w:tc>
          <w:tcPr>
            <w:tcW w:w="0" w:type="auto"/>
            <w:tcBorders>
              <w:top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r w:rsidRPr="00581F1F">
              <w:rPr>
                <w:rFonts w:ascii="Arial" w:hAnsi="Arial" w:cs="Arial"/>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r>
      <w:tr w:rsidR="00C03D2A" w:rsidRPr="00581F1F" w:rsidTr="0016350B">
        <w:trPr>
          <w:trHeight w:val="285"/>
        </w:trPr>
        <w:tc>
          <w:tcPr>
            <w:tcW w:w="0" w:type="auto"/>
            <w:gridSpan w:val="4"/>
            <w:tcBorders>
              <w:top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Equipo de cómputo y tecnologías de la información</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1F275D">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1F275D">
              <w:rPr>
                <w:rFonts w:ascii="Arial" w:hAnsi="Arial" w:cs="Arial"/>
                <w:color w:val="000000"/>
                <w:sz w:val="20"/>
                <w:szCs w:val="20"/>
                <w:lang w:val="es-MX" w:eastAsia="es-MX"/>
              </w:rPr>
              <w:t>101</w:t>
            </w:r>
            <w:r w:rsidRPr="00581F1F">
              <w:rPr>
                <w:rFonts w:ascii="Arial" w:hAnsi="Arial" w:cs="Arial"/>
                <w:color w:val="000000"/>
                <w:sz w:val="20"/>
                <w:szCs w:val="20"/>
                <w:lang w:val="es-MX" w:eastAsia="es-MX"/>
              </w:rPr>
              <w:t>,</w:t>
            </w:r>
            <w:r w:rsidR="001F275D">
              <w:rPr>
                <w:rFonts w:ascii="Arial" w:hAnsi="Arial" w:cs="Arial"/>
                <w:color w:val="000000"/>
                <w:sz w:val="20"/>
                <w:szCs w:val="20"/>
                <w:lang w:val="es-MX" w:eastAsia="es-MX"/>
              </w:rPr>
              <w:t>128</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A131C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A131C2">
              <w:rPr>
                <w:rFonts w:ascii="Arial" w:hAnsi="Arial" w:cs="Arial"/>
                <w:color w:val="000000"/>
                <w:sz w:val="20"/>
                <w:szCs w:val="20"/>
                <w:lang w:val="es-MX" w:eastAsia="es-MX"/>
              </w:rPr>
              <w:t>101</w:t>
            </w:r>
            <w:r w:rsidRPr="00581F1F">
              <w:rPr>
                <w:rFonts w:ascii="Arial" w:hAnsi="Arial" w:cs="Arial"/>
                <w:color w:val="000000"/>
                <w:sz w:val="20"/>
                <w:szCs w:val="20"/>
                <w:lang w:val="es-MX" w:eastAsia="es-MX"/>
              </w:rPr>
              <w:t>.</w:t>
            </w:r>
            <w:r w:rsidR="00A131C2">
              <w:rPr>
                <w:rFonts w:ascii="Arial" w:hAnsi="Arial" w:cs="Arial"/>
                <w:color w:val="000000"/>
                <w:sz w:val="20"/>
                <w:szCs w:val="20"/>
                <w:lang w:val="es-MX" w:eastAsia="es-MX"/>
              </w:rPr>
              <w:t>128</w:t>
            </w:r>
            <w:r w:rsidRPr="00581F1F">
              <w:rPr>
                <w:rFonts w:ascii="Arial" w:hAnsi="Arial" w:cs="Arial"/>
                <w:color w:val="000000"/>
                <w:sz w:val="20"/>
                <w:szCs w:val="20"/>
                <w:lang w:val="es-MX" w:eastAsia="es-MX"/>
              </w:rPr>
              <w:t xml:space="preserve"> </w:t>
            </w:r>
          </w:p>
        </w:tc>
      </w:tr>
      <w:tr w:rsidR="00C03D2A" w:rsidRPr="00581F1F" w:rsidTr="0016350B">
        <w:trPr>
          <w:trHeight w:val="285"/>
        </w:trPr>
        <w:tc>
          <w:tcPr>
            <w:tcW w:w="0" w:type="auto"/>
            <w:gridSpan w:val="3"/>
            <w:tcBorders>
              <w:top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Muebles de oficina y estantería</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1F275D">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052840">
              <w:rPr>
                <w:rFonts w:ascii="Arial" w:hAnsi="Arial" w:cs="Arial"/>
                <w:color w:val="000000"/>
                <w:sz w:val="20"/>
                <w:szCs w:val="20"/>
                <w:lang w:val="es-MX" w:eastAsia="es-MX"/>
              </w:rPr>
              <w:t>4</w:t>
            </w:r>
            <w:r w:rsidR="001F275D">
              <w:rPr>
                <w:rFonts w:ascii="Arial" w:hAnsi="Arial" w:cs="Arial"/>
                <w:color w:val="000000"/>
                <w:sz w:val="20"/>
                <w:szCs w:val="20"/>
                <w:lang w:val="es-MX" w:eastAsia="es-MX"/>
              </w:rPr>
              <w:t>9</w:t>
            </w:r>
            <w:r w:rsidRPr="00581F1F">
              <w:rPr>
                <w:rFonts w:ascii="Arial" w:hAnsi="Arial" w:cs="Arial"/>
                <w:color w:val="000000"/>
                <w:sz w:val="20"/>
                <w:szCs w:val="20"/>
                <w:lang w:val="es-MX" w:eastAsia="es-MX"/>
              </w:rPr>
              <w:t>,</w:t>
            </w:r>
            <w:r w:rsidR="001F275D">
              <w:rPr>
                <w:rFonts w:ascii="Arial" w:hAnsi="Arial" w:cs="Arial"/>
                <w:color w:val="000000"/>
                <w:sz w:val="20"/>
                <w:szCs w:val="20"/>
                <w:lang w:val="es-MX" w:eastAsia="es-MX"/>
              </w:rPr>
              <w:t>593</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A71B86" w:rsidP="00A131C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4</w:t>
            </w:r>
            <w:r w:rsidR="00A131C2">
              <w:rPr>
                <w:rFonts w:ascii="Arial" w:hAnsi="Arial" w:cs="Arial"/>
                <w:color w:val="000000"/>
                <w:sz w:val="20"/>
                <w:szCs w:val="20"/>
                <w:lang w:val="es-MX" w:eastAsia="es-MX"/>
              </w:rPr>
              <w:t>9</w:t>
            </w:r>
            <w:r w:rsidRPr="00581F1F">
              <w:rPr>
                <w:rFonts w:ascii="Arial" w:hAnsi="Arial" w:cs="Arial"/>
                <w:color w:val="000000"/>
                <w:sz w:val="20"/>
                <w:szCs w:val="20"/>
                <w:lang w:val="es-MX" w:eastAsia="es-MX"/>
              </w:rPr>
              <w:t>,</w:t>
            </w:r>
            <w:r w:rsidR="00A131C2">
              <w:rPr>
                <w:rFonts w:ascii="Arial" w:hAnsi="Arial" w:cs="Arial"/>
                <w:color w:val="000000"/>
                <w:sz w:val="20"/>
                <w:szCs w:val="20"/>
                <w:lang w:val="es-MX" w:eastAsia="es-MX"/>
              </w:rPr>
              <w:t>593</w:t>
            </w:r>
          </w:p>
        </w:tc>
      </w:tr>
      <w:tr w:rsidR="003D3B23" w:rsidRPr="00581F1F" w:rsidTr="00052840">
        <w:trPr>
          <w:trHeight w:val="285"/>
        </w:trPr>
        <w:tc>
          <w:tcPr>
            <w:tcW w:w="0" w:type="auto"/>
            <w:gridSpan w:val="2"/>
            <w:tcBorders>
              <w:top w:val="nil"/>
              <w:bottom w:val="nil"/>
              <w:right w:val="nil"/>
            </w:tcBorders>
            <w:shd w:val="clear" w:color="auto" w:fill="auto"/>
            <w:noWrap/>
            <w:vAlign w:val="bottom"/>
          </w:tcPr>
          <w:p w:rsidR="009306CB" w:rsidRPr="00581F1F" w:rsidRDefault="001F275D" w:rsidP="009306CB">
            <w:pPr>
              <w:rPr>
                <w:rFonts w:ascii="Arial" w:hAnsi="Arial" w:cs="Arial"/>
                <w:color w:val="000000"/>
                <w:sz w:val="20"/>
                <w:szCs w:val="20"/>
                <w:lang w:val="es-MX" w:eastAsia="es-MX"/>
              </w:rPr>
            </w:pPr>
            <w:r>
              <w:rPr>
                <w:rFonts w:ascii="Arial" w:hAnsi="Arial" w:cs="Arial"/>
                <w:color w:val="000000"/>
                <w:sz w:val="20"/>
                <w:szCs w:val="20"/>
                <w:lang w:val="es-MX" w:eastAsia="es-MX"/>
              </w:rPr>
              <w:t>Vehículos y Equipo de Transporte</w:t>
            </w:r>
          </w:p>
        </w:tc>
        <w:tc>
          <w:tcPr>
            <w:tcW w:w="0" w:type="auto"/>
            <w:tcBorders>
              <w:top w:val="nil"/>
              <w:left w:val="nil"/>
              <w:bottom w:val="nil"/>
              <w:right w:val="nil"/>
            </w:tcBorders>
            <w:shd w:val="clear" w:color="auto" w:fill="auto"/>
            <w:noWrap/>
            <w:vAlign w:val="bottom"/>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single" w:sz="4" w:space="0" w:color="auto"/>
              <w:right w:val="nil"/>
            </w:tcBorders>
            <w:shd w:val="clear" w:color="auto" w:fill="auto"/>
            <w:noWrap/>
            <w:vAlign w:val="bottom"/>
            <w:hideMark/>
          </w:tcPr>
          <w:p w:rsidR="009306CB" w:rsidRPr="00581F1F" w:rsidRDefault="001F275D" w:rsidP="00052840">
            <w:pPr>
              <w:jc w:val="right"/>
              <w:rPr>
                <w:rFonts w:ascii="Arial" w:hAnsi="Arial" w:cs="Arial"/>
                <w:color w:val="000000"/>
                <w:sz w:val="20"/>
                <w:szCs w:val="20"/>
                <w:lang w:val="es-MX" w:eastAsia="es-MX"/>
              </w:rPr>
            </w:pPr>
            <w:r>
              <w:rPr>
                <w:rFonts w:ascii="Arial" w:hAnsi="Arial" w:cs="Arial"/>
                <w:color w:val="000000"/>
                <w:sz w:val="20"/>
                <w:szCs w:val="20"/>
                <w:lang w:val="es-MX" w:eastAsia="es-MX"/>
              </w:rPr>
              <w:t>393,500</w:t>
            </w:r>
            <w:r w:rsidR="009306CB"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single" w:sz="4" w:space="0" w:color="auto"/>
              <w:right w:val="nil"/>
            </w:tcBorders>
            <w:shd w:val="clear" w:color="auto" w:fill="auto"/>
            <w:noWrap/>
            <w:vAlign w:val="bottom"/>
            <w:hideMark/>
          </w:tcPr>
          <w:p w:rsidR="009306CB" w:rsidRPr="00581F1F" w:rsidRDefault="00A131C2" w:rsidP="00052840">
            <w:pPr>
              <w:jc w:val="right"/>
              <w:rPr>
                <w:rFonts w:ascii="Arial" w:hAnsi="Arial" w:cs="Arial"/>
                <w:color w:val="000000"/>
                <w:sz w:val="20"/>
                <w:szCs w:val="20"/>
                <w:lang w:val="es-MX" w:eastAsia="es-MX"/>
              </w:rPr>
            </w:pPr>
            <w:r>
              <w:rPr>
                <w:rFonts w:ascii="Arial" w:hAnsi="Arial" w:cs="Arial"/>
                <w:color w:val="000000"/>
                <w:sz w:val="20"/>
                <w:szCs w:val="20"/>
                <w:lang w:val="es-MX" w:eastAsia="es-MX"/>
              </w:rPr>
              <w:t>393</w:t>
            </w:r>
            <w:r w:rsidR="001F275D">
              <w:rPr>
                <w:rFonts w:ascii="Arial" w:hAnsi="Arial" w:cs="Arial"/>
                <w:color w:val="000000"/>
                <w:sz w:val="20"/>
                <w:szCs w:val="20"/>
                <w:lang w:val="es-MX" w:eastAsia="es-MX"/>
              </w:rPr>
              <w:t>.</w:t>
            </w:r>
            <w:r>
              <w:rPr>
                <w:rFonts w:ascii="Arial" w:hAnsi="Arial" w:cs="Arial"/>
                <w:color w:val="000000"/>
                <w:sz w:val="20"/>
                <w:szCs w:val="20"/>
                <w:lang w:val="es-MX" w:eastAsia="es-MX"/>
              </w:rPr>
              <w:t>5</w:t>
            </w:r>
            <w:r w:rsidR="001F275D">
              <w:rPr>
                <w:rFonts w:ascii="Arial" w:hAnsi="Arial" w:cs="Arial"/>
                <w:color w:val="000000"/>
                <w:sz w:val="20"/>
                <w:szCs w:val="20"/>
                <w:lang w:val="es-MX" w:eastAsia="es-MX"/>
              </w:rPr>
              <w:t>00</w:t>
            </w:r>
            <w:r w:rsidR="009306CB" w:rsidRPr="00581F1F">
              <w:rPr>
                <w:rFonts w:ascii="Arial" w:hAnsi="Arial" w:cs="Arial"/>
                <w:color w:val="000000"/>
                <w:sz w:val="20"/>
                <w:szCs w:val="20"/>
                <w:lang w:val="es-MX" w:eastAsia="es-MX"/>
              </w:rPr>
              <w:t xml:space="preserve">              </w:t>
            </w:r>
          </w:p>
        </w:tc>
      </w:tr>
      <w:tr w:rsidR="00A71B86" w:rsidRPr="00581F1F" w:rsidTr="00052840">
        <w:trPr>
          <w:trHeight w:val="285"/>
        </w:trPr>
        <w:tc>
          <w:tcPr>
            <w:tcW w:w="0" w:type="auto"/>
            <w:tcBorders>
              <w:top w:val="nil"/>
              <w:bottom w:val="nil"/>
              <w:right w:val="nil"/>
            </w:tcBorders>
            <w:shd w:val="clear" w:color="auto" w:fill="auto"/>
            <w:noWrap/>
            <w:vAlign w:val="bottom"/>
            <w:hideMark/>
          </w:tcPr>
          <w:p w:rsidR="00A71B86" w:rsidRPr="00581F1F" w:rsidRDefault="00A71B86"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A71B86" w:rsidRPr="00581F1F" w:rsidRDefault="00A71B86" w:rsidP="00FA435F">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FA435F">
              <w:rPr>
                <w:rFonts w:ascii="Arial" w:hAnsi="Arial" w:cs="Arial"/>
                <w:color w:val="000000"/>
                <w:sz w:val="20"/>
                <w:szCs w:val="20"/>
                <w:lang w:val="es-MX" w:eastAsia="es-MX"/>
              </w:rPr>
              <w:t>544</w:t>
            </w:r>
            <w:r w:rsidRPr="00581F1F">
              <w:rPr>
                <w:rFonts w:ascii="Arial" w:hAnsi="Arial" w:cs="Arial"/>
                <w:color w:val="000000"/>
                <w:sz w:val="20"/>
                <w:szCs w:val="20"/>
                <w:lang w:val="es-MX" w:eastAsia="es-MX"/>
              </w:rPr>
              <w:t>,</w:t>
            </w:r>
            <w:r w:rsidR="00FA435F">
              <w:rPr>
                <w:rFonts w:ascii="Arial" w:hAnsi="Arial" w:cs="Arial"/>
                <w:color w:val="000000"/>
                <w:sz w:val="20"/>
                <w:szCs w:val="20"/>
                <w:lang w:val="es-MX" w:eastAsia="es-MX"/>
              </w:rPr>
              <w:t>221</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A71B86" w:rsidRPr="00581F1F" w:rsidRDefault="00A71B86" w:rsidP="00A131C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A131C2">
              <w:rPr>
                <w:rFonts w:ascii="Arial" w:hAnsi="Arial" w:cs="Arial"/>
                <w:color w:val="000000"/>
                <w:sz w:val="20"/>
                <w:szCs w:val="20"/>
                <w:lang w:val="es-MX" w:eastAsia="es-MX"/>
              </w:rPr>
              <w:t>544</w:t>
            </w:r>
            <w:r w:rsidRPr="00581F1F">
              <w:rPr>
                <w:rFonts w:ascii="Arial" w:hAnsi="Arial" w:cs="Arial"/>
                <w:color w:val="000000"/>
                <w:sz w:val="20"/>
                <w:szCs w:val="20"/>
                <w:lang w:val="es-MX" w:eastAsia="es-MX"/>
              </w:rPr>
              <w:t>,</w:t>
            </w:r>
            <w:r w:rsidR="00A131C2">
              <w:rPr>
                <w:rFonts w:ascii="Arial" w:hAnsi="Arial" w:cs="Arial"/>
                <w:color w:val="000000"/>
                <w:sz w:val="20"/>
                <w:szCs w:val="20"/>
                <w:lang w:val="es-MX" w:eastAsia="es-MX"/>
              </w:rPr>
              <w:t>221</w:t>
            </w:r>
            <w:r w:rsidRPr="00581F1F">
              <w:rPr>
                <w:rFonts w:ascii="Arial" w:hAnsi="Arial" w:cs="Arial"/>
                <w:color w:val="000000"/>
                <w:sz w:val="20"/>
                <w:szCs w:val="20"/>
                <w:lang w:val="es-MX" w:eastAsia="es-MX"/>
              </w:rPr>
              <w:t xml:space="preserve"> </w:t>
            </w:r>
          </w:p>
        </w:tc>
      </w:tr>
      <w:tr w:rsidR="00504EE2" w:rsidRPr="00581F1F" w:rsidTr="0016350B">
        <w:trPr>
          <w:trHeight w:val="285"/>
        </w:trPr>
        <w:tc>
          <w:tcPr>
            <w:tcW w:w="0" w:type="auto"/>
            <w:gridSpan w:val="4"/>
            <w:tcBorders>
              <w:top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 Depreciación y amortización acumulada</w:t>
            </w: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single" w:sz="4" w:space="0" w:color="auto"/>
              <w:right w:val="nil"/>
            </w:tcBorders>
            <w:shd w:val="clear" w:color="auto" w:fill="auto"/>
            <w:noWrap/>
            <w:vAlign w:val="bottom"/>
            <w:hideMark/>
          </w:tcPr>
          <w:p w:rsidR="00504EE2" w:rsidRPr="00581F1F" w:rsidRDefault="00504EE2" w:rsidP="00925CB1">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A11AE1">
              <w:rPr>
                <w:rFonts w:ascii="Arial" w:hAnsi="Arial" w:cs="Arial"/>
                <w:color w:val="000000"/>
                <w:sz w:val="20"/>
                <w:szCs w:val="20"/>
                <w:lang w:val="es-MX" w:eastAsia="es-MX"/>
              </w:rPr>
              <w:t>1</w:t>
            </w:r>
            <w:r w:rsidR="00925CB1">
              <w:rPr>
                <w:rFonts w:ascii="Arial" w:hAnsi="Arial" w:cs="Arial"/>
                <w:color w:val="000000"/>
                <w:sz w:val="20"/>
                <w:szCs w:val="20"/>
                <w:lang w:val="es-MX" w:eastAsia="es-MX"/>
              </w:rPr>
              <w:t>7</w:t>
            </w:r>
            <w:r w:rsidR="007445E0">
              <w:rPr>
                <w:rFonts w:ascii="Arial" w:hAnsi="Arial" w:cs="Arial"/>
                <w:color w:val="000000"/>
                <w:sz w:val="20"/>
                <w:szCs w:val="20"/>
                <w:lang w:val="es-MX" w:eastAsia="es-MX"/>
              </w:rPr>
              <w:t>8</w:t>
            </w:r>
            <w:r w:rsidRPr="00581F1F">
              <w:rPr>
                <w:rFonts w:ascii="Arial" w:hAnsi="Arial" w:cs="Arial"/>
                <w:color w:val="000000"/>
                <w:sz w:val="20"/>
                <w:szCs w:val="20"/>
                <w:lang w:val="es-MX" w:eastAsia="es-MX"/>
              </w:rPr>
              <w:t>,</w:t>
            </w:r>
            <w:r w:rsidR="00925CB1">
              <w:rPr>
                <w:rFonts w:ascii="Arial" w:hAnsi="Arial" w:cs="Arial"/>
                <w:color w:val="000000"/>
                <w:sz w:val="20"/>
                <w:szCs w:val="20"/>
                <w:lang w:val="es-MX" w:eastAsia="es-MX"/>
              </w:rPr>
              <w:t>028</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single" w:sz="4" w:space="0" w:color="auto"/>
              <w:right w:val="nil"/>
            </w:tcBorders>
            <w:shd w:val="clear" w:color="auto" w:fill="auto"/>
            <w:noWrap/>
            <w:vAlign w:val="bottom"/>
            <w:hideMark/>
          </w:tcPr>
          <w:p w:rsidR="00504EE2" w:rsidRPr="00581F1F" w:rsidRDefault="00504EE2" w:rsidP="00A131C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A131C2">
              <w:rPr>
                <w:rFonts w:ascii="Arial" w:hAnsi="Arial" w:cs="Arial"/>
                <w:color w:val="000000"/>
                <w:sz w:val="20"/>
                <w:szCs w:val="20"/>
                <w:lang w:val="es-MX" w:eastAsia="es-MX"/>
              </w:rPr>
              <w:t>8</w:t>
            </w:r>
            <w:r w:rsidR="00BC66BB">
              <w:rPr>
                <w:rFonts w:ascii="Arial" w:hAnsi="Arial" w:cs="Arial"/>
                <w:color w:val="000000"/>
                <w:sz w:val="20"/>
                <w:szCs w:val="20"/>
                <w:lang w:val="es-MX" w:eastAsia="es-MX"/>
              </w:rPr>
              <w:t>0</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6</w:t>
            </w:r>
            <w:r w:rsidR="00A131C2">
              <w:rPr>
                <w:rFonts w:ascii="Arial" w:hAnsi="Arial" w:cs="Arial"/>
                <w:color w:val="000000"/>
                <w:sz w:val="20"/>
                <w:szCs w:val="20"/>
                <w:lang w:val="es-MX" w:eastAsia="es-MX"/>
              </w:rPr>
              <w:t>11</w:t>
            </w:r>
            <w:r w:rsidRPr="00581F1F">
              <w:rPr>
                <w:rFonts w:ascii="Arial" w:hAnsi="Arial" w:cs="Arial"/>
                <w:color w:val="000000"/>
                <w:sz w:val="20"/>
                <w:szCs w:val="20"/>
                <w:lang w:val="es-MX" w:eastAsia="es-MX"/>
              </w:rPr>
              <w:t xml:space="preserve">) </w:t>
            </w:r>
          </w:p>
        </w:tc>
      </w:tr>
      <w:tr w:rsidR="00504EE2" w:rsidRPr="00581F1F" w:rsidTr="0016350B">
        <w:trPr>
          <w:trHeight w:val="315"/>
        </w:trPr>
        <w:tc>
          <w:tcPr>
            <w:tcW w:w="0" w:type="auto"/>
            <w:tcBorders>
              <w:top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double" w:sz="6" w:space="0" w:color="auto"/>
              <w:right w:val="nil"/>
            </w:tcBorders>
            <w:shd w:val="clear" w:color="auto" w:fill="auto"/>
            <w:noWrap/>
            <w:vAlign w:val="bottom"/>
            <w:hideMark/>
          </w:tcPr>
          <w:p w:rsidR="00504EE2" w:rsidRPr="00581F1F" w:rsidRDefault="00504EE2" w:rsidP="00925CB1">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7445E0">
              <w:rPr>
                <w:rFonts w:ascii="Arial" w:hAnsi="Arial" w:cs="Arial"/>
                <w:b/>
                <w:bCs/>
                <w:color w:val="000000"/>
                <w:sz w:val="20"/>
                <w:szCs w:val="20"/>
                <w:lang w:val="es-MX" w:eastAsia="es-MX"/>
              </w:rPr>
              <w:t>3</w:t>
            </w:r>
            <w:r w:rsidR="00925CB1">
              <w:rPr>
                <w:rFonts w:ascii="Arial" w:hAnsi="Arial" w:cs="Arial"/>
                <w:b/>
                <w:bCs/>
                <w:color w:val="000000"/>
                <w:sz w:val="20"/>
                <w:szCs w:val="20"/>
                <w:lang w:val="es-MX" w:eastAsia="es-MX"/>
              </w:rPr>
              <w:t>6</w:t>
            </w:r>
            <w:r w:rsidR="007445E0">
              <w:rPr>
                <w:rFonts w:ascii="Arial" w:hAnsi="Arial" w:cs="Arial"/>
                <w:b/>
                <w:bCs/>
                <w:color w:val="000000"/>
                <w:sz w:val="20"/>
                <w:szCs w:val="20"/>
                <w:lang w:val="es-MX" w:eastAsia="es-MX"/>
              </w:rPr>
              <w:t>6</w:t>
            </w:r>
            <w:r w:rsidRPr="00581F1F">
              <w:rPr>
                <w:rFonts w:ascii="Arial" w:hAnsi="Arial" w:cs="Arial"/>
                <w:b/>
                <w:bCs/>
                <w:color w:val="000000"/>
                <w:sz w:val="20"/>
                <w:szCs w:val="20"/>
                <w:lang w:val="es-MX" w:eastAsia="es-MX"/>
              </w:rPr>
              <w:t>,</w:t>
            </w:r>
            <w:r w:rsidR="00925CB1">
              <w:rPr>
                <w:rFonts w:ascii="Arial" w:hAnsi="Arial" w:cs="Arial"/>
                <w:b/>
                <w:bCs/>
                <w:color w:val="000000"/>
                <w:sz w:val="20"/>
                <w:szCs w:val="20"/>
                <w:lang w:val="es-MX" w:eastAsia="es-MX"/>
              </w:rPr>
              <w:t>193</w:t>
            </w: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double" w:sz="6" w:space="0" w:color="auto"/>
              <w:right w:val="nil"/>
            </w:tcBorders>
            <w:shd w:val="clear" w:color="auto" w:fill="auto"/>
            <w:noWrap/>
            <w:vAlign w:val="bottom"/>
            <w:hideMark/>
          </w:tcPr>
          <w:p w:rsidR="00504EE2" w:rsidRPr="00581F1F" w:rsidRDefault="00504EE2" w:rsidP="00A131C2">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A131C2">
              <w:rPr>
                <w:rFonts w:ascii="Arial" w:hAnsi="Arial" w:cs="Arial"/>
                <w:b/>
                <w:bCs/>
                <w:color w:val="000000"/>
                <w:sz w:val="20"/>
                <w:szCs w:val="20"/>
                <w:lang w:val="es-MX" w:eastAsia="es-MX"/>
              </w:rPr>
              <w:t>463</w:t>
            </w:r>
            <w:r w:rsidRPr="00581F1F">
              <w:rPr>
                <w:rFonts w:ascii="Arial" w:hAnsi="Arial" w:cs="Arial"/>
                <w:b/>
                <w:bCs/>
                <w:color w:val="000000"/>
                <w:sz w:val="20"/>
                <w:szCs w:val="20"/>
                <w:lang w:val="es-MX" w:eastAsia="es-MX"/>
              </w:rPr>
              <w:t>,</w:t>
            </w:r>
            <w:r w:rsidR="00A131C2">
              <w:rPr>
                <w:rFonts w:ascii="Arial" w:hAnsi="Arial" w:cs="Arial"/>
                <w:b/>
                <w:bCs/>
                <w:color w:val="000000"/>
                <w:sz w:val="20"/>
                <w:szCs w:val="20"/>
                <w:lang w:val="es-MX" w:eastAsia="es-MX"/>
              </w:rPr>
              <w:t>610</w:t>
            </w:r>
          </w:p>
        </w:tc>
      </w:tr>
    </w:tbl>
    <w:p w:rsidR="00A86824" w:rsidRDefault="00A86824" w:rsidP="009306CB">
      <w:pPr>
        <w:pStyle w:val="Default"/>
        <w:jc w:val="both"/>
        <w:rPr>
          <w:sz w:val="16"/>
          <w:szCs w:val="16"/>
        </w:rPr>
      </w:pPr>
    </w:p>
    <w:p w:rsidR="00280590" w:rsidRDefault="00280590" w:rsidP="009306CB">
      <w:pPr>
        <w:pStyle w:val="Default"/>
        <w:jc w:val="both"/>
        <w:rPr>
          <w:sz w:val="16"/>
          <w:szCs w:val="16"/>
        </w:rPr>
      </w:pPr>
    </w:p>
    <w:tbl>
      <w:tblPr>
        <w:tblStyle w:val="Tablaconcuadrcula"/>
        <w:tblW w:w="0" w:type="auto"/>
        <w:tblInd w:w="812" w:type="dxa"/>
        <w:tblLook w:val="04A0" w:firstRow="1" w:lastRow="0" w:firstColumn="1" w:lastColumn="0" w:noHBand="0" w:noVBand="1"/>
      </w:tblPr>
      <w:tblGrid>
        <w:gridCol w:w="2207"/>
        <w:gridCol w:w="2207"/>
        <w:gridCol w:w="2207"/>
        <w:gridCol w:w="2207"/>
      </w:tblGrid>
      <w:tr w:rsidR="00280590" w:rsidTr="00280590">
        <w:tc>
          <w:tcPr>
            <w:tcW w:w="8828" w:type="dxa"/>
            <w:gridSpan w:val="4"/>
          </w:tcPr>
          <w:p w:rsidR="00280590" w:rsidRDefault="00280590" w:rsidP="006870C9">
            <w:r>
              <w:t>DEPRECIACION DEL EJERCICIO/ACUMULADA Y ESTADO DE LOS BIENES</w:t>
            </w:r>
          </w:p>
        </w:tc>
      </w:tr>
      <w:tr w:rsidR="00280590" w:rsidTr="00280590">
        <w:tc>
          <w:tcPr>
            <w:tcW w:w="2207" w:type="dxa"/>
          </w:tcPr>
          <w:p w:rsidR="00280590" w:rsidRPr="00342B73" w:rsidRDefault="00280590" w:rsidP="006870C9">
            <w:pPr>
              <w:jc w:val="center"/>
              <w:rPr>
                <w:sz w:val="16"/>
                <w:szCs w:val="16"/>
              </w:rPr>
            </w:pPr>
            <w:r>
              <w:rPr>
                <w:sz w:val="16"/>
                <w:szCs w:val="16"/>
              </w:rPr>
              <w:lastRenderedPageBreak/>
              <w:t>RUBRO</w:t>
            </w:r>
          </w:p>
        </w:tc>
        <w:tc>
          <w:tcPr>
            <w:tcW w:w="2207" w:type="dxa"/>
          </w:tcPr>
          <w:p w:rsidR="00280590" w:rsidRPr="00342B73" w:rsidRDefault="00280590" w:rsidP="006870C9">
            <w:pPr>
              <w:jc w:val="center"/>
              <w:rPr>
                <w:sz w:val="16"/>
                <w:szCs w:val="16"/>
              </w:rPr>
            </w:pPr>
            <w:r>
              <w:rPr>
                <w:sz w:val="16"/>
                <w:szCs w:val="16"/>
              </w:rPr>
              <w:t>DEPRECIACION DEL EJERCICIO</w:t>
            </w:r>
          </w:p>
        </w:tc>
        <w:tc>
          <w:tcPr>
            <w:tcW w:w="2207" w:type="dxa"/>
          </w:tcPr>
          <w:p w:rsidR="00280590" w:rsidRDefault="00280590" w:rsidP="006870C9">
            <w:pPr>
              <w:jc w:val="center"/>
            </w:pPr>
            <w:r w:rsidRPr="00342B73">
              <w:rPr>
                <w:sz w:val="16"/>
                <w:szCs w:val="16"/>
              </w:rPr>
              <w:t>DEPRECIACION ACUMULADA</w:t>
            </w:r>
          </w:p>
        </w:tc>
        <w:tc>
          <w:tcPr>
            <w:tcW w:w="2207" w:type="dxa"/>
          </w:tcPr>
          <w:p w:rsidR="00280590" w:rsidRPr="004D4517" w:rsidRDefault="00280590" w:rsidP="006870C9">
            <w:pPr>
              <w:rPr>
                <w:sz w:val="16"/>
                <w:szCs w:val="16"/>
              </w:rPr>
            </w:pPr>
            <w:r>
              <w:rPr>
                <w:sz w:val="16"/>
                <w:szCs w:val="16"/>
              </w:rPr>
              <w:t>ESTADO DE LOS BIENES</w:t>
            </w:r>
          </w:p>
        </w:tc>
      </w:tr>
      <w:tr w:rsidR="00280590" w:rsidTr="0033552F">
        <w:tc>
          <w:tcPr>
            <w:tcW w:w="2207" w:type="dxa"/>
          </w:tcPr>
          <w:p w:rsidR="00280590" w:rsidRDefault="00280590" w:rsidP="006870C9">
            <w:r w:rsidRPr="00581F1F">
              <w:rPr>
                <w:rFonts w:ascii="Arial" w:hAnsi="Arial" w:cs="Arial"/>
                <w:color w:val="000000"/>
                <w:sz w:val="20"/>
                <w:szCs w:val="20"/>
                <w:lang w:eastAsia="es-MX"/>
              </w:rPr>
              <w:t>Muebles de oficina y estantería</w:t>
            </w:r>
          </w:p>
        </w:tc>
        <w:tc>
          <w:tcPr>
            <w:tcW w:w="2207" w:type="dxa"/>
            <w:vAlign w:val="center"/>
          </w:tcPr>
          <w:p w:rsidR="00280590" w:rsidRDefault="007445E0" w:rsidP="0033552F">
            <w:pPr>
              <w:jc w:val="center"/>
            </w:pPr>
            <w:r>
              <w:t>$</w:t>
            </w:r>
            <w:r w:rsidR="00A8261F">
              <w:t>3</w:t>
            </w:r>
            <w:r>
              <w:t>,</w:t>
            </w:r>
            <w:r w:rsidR="00A8261F">
              <w:t>720</w:t>
            </w:r>
          </w:p>
        </w:tc>
        <w:tc>
          <w:tcPr>
            <w:tcW w:w="2207" w:type="dxa"/>
            <w:vAlign w:val="center"/>
          </w:tcPr>
          <w:p w:rsidR="00280590" w:rsidRPr="000A257B" w:rsidRDefault="00280590" w:rsidP="0033552F">
            <w:pPr>
              <w:jc w:val="center"/>
              <w:rPr>
                <w:sz w:val="20"/>
                <w:szCs w:val="20"/>
              </w:rPr>
            </w:pPr>
            <w:r w:rsidRPr="000A257B">
              <w:rPr>
                <w:sz w:val="20"/>
                <w:szCs w:val="20"/>
              </w:rPr>
              <w:t>$1</w:t>
            </w:r>
            <w:r w:rsidR="00A8261F">
              <w:rPr>
                <w:sz w:val="20"/>
                <w:szCs w:val="20"/>
              </w:rPr>
              <w:t>4</w:t>
            </w:r>
            <w:r w:rsidRPr="000A257B">
              <w:rPr>
                <w:sz w:val="20"/>
                <w:szCs w:val="20"/>
              </w:rPr>
              <w:t>,</w:t>
            </w:r>
            <w:r w:rsidR="00A8261F">
              <w:rPr>
                <w:sz w:val="20"/>
                <w:szCs w:val="20"/>
              </w:rPr>
              <w:t>546</w:t>
            </w:r>
          </w:p>
        </w:tc>
        <w:tc>
          <w:tcPr>
            <w:tcW w:w="2207" w:type="dxa"/>
            <w:vAlign w:val="center"/>
          </w:tcPr>
          <w:p w:rsidR="00280590" w:rsidRPr="000A257B" w:rsidRDefault="00280590" w:rsidP="0033552F">
            <w:pPr>
              <w:jc w:val="center"/>
              <w:rPr>
                <w:sz w:val="20"/>
                <w:szCs w:val="20"/>
              </w:rPr>
            </w:pPr>
            <w:r>
              <w:rPr>
                <w:sz w:val="20"/>
                <w:szCs w:val="20"/>
              </w:rPr>
              <w:t>Buen estado</w:t>
            </w:r>
          </w:p>
        </w:tc>
      </w:tr>
      <w:tr w:rsidR="00280590" w:rsidTr="0033552F">
        <w:tc>
          <w:tcPr>
            <w:tcW w:w="2207" w:type="dxa"/>
          </w:tcPr>
          <w:p w:rsidR="00280590" w:rsidRDefault="00280590" w:rsidP="006870C9">
            <w:r>
              <w:rPr>
                <w:rFonts w:ascii="Arial" w:hAnsi="Arial" w:cs="Arial"/>
                <w:color w:val="000000"/>
                <w:sz w:val="20"/>
                <w:szCs w:val="20"/>
                <w:lang w:eastAsia="es-MX"/>
              </w:rPr>
              <w:t>Vehículos y Equipo de Transporte</w:t>
            </w:r>
          </w:p>
        </w:tc>
        <w:tc>
          <w:tcPr>
            <w:tcW w:w="2207" w:type="dxa"/>
            <w:vAlign w:val="center"/>
          </w:tcPr>
          <w:p w:rsidR="00280590" w:rsidRDefault="007445E0" w:rsidP="0033552F">
            <w:pPr>
              <w:jc w:val="center"/>
            </w:pPr>
            <w:r>
              <w:t>$</w:t>
            </w:r>
            <w:r w:rsidR="00A8261F">
              <w:t>81</w:t>
            </w:r>
            <w:r>
              <w:t>,</w:t>
            </w:r>
            <w:r w:rsidR="00A8261F">
              <w:t>979</w:t>
            </w:r>
          </w:p>
        </w:tc>
        <w:tc>
          <w:tcPr>
            <w:tcW w:w="2207" w:type="dxa"/>
            <w:vAlign w:val="center"/>
          </w:tcPr>
          <w:p w:rsidR="00280590" w:rsidRPr="000A257B" w:rsidRDefault="00280590" w:rsidP="0033552F">
            <w:pPr>
              <w:jc w:val="center"/>
              <w:rPr>
                <w:sz w:val="20"/>
                <w:szCs w:val="20"/>
              </w:rPr>
            </w:pPr>
            <w:r>
              <w:rPr>
                <w:sz w:val="20"/>
                <w:szCs w:val="20"/>
              </w:rPr>
              <w:t>$</w:t>
            </w:r>
            <w:r w:rsidR="00A8261F">
              <w:rPr>
                <w:sz w:val="20"/>
                <w:szCs w:val="20"/>
              </w:rPr>
              <w:t>81</w:t>
            </w:r>
            <w:r>
              <w:rPr>
                <w:sz w:val="20"/>
                <w:szCs w:val="20"/>
              </w:rPr>
              <w:t>,</w:t>
            </w:r>
            <w:r w:rsidR="00A8261F">
              <w:rPr>
                <w:sz w:val="20"/>
                <w:szCs w:val="20"/>
              </w:rPr>
              <w:t>979</w:t>
            </w:r>
          </w:p>
        </w:tc>
        <w:tc>
          <w:tcPr>
            <w:tcW w:w="2207" w:type="dxa"/>
            <w:vAlign w:val="center"/>
          </w:tcPr>
          <w:p w:rsidR="00280590" w:rsidRPr="000A257B" w:rsidRDefault="00280590" w:rsidP="0033552F">
            <w:pPr>
              <w:jc w:val="center"/>
              <w:rPr>
                <w:sz w:val="20"/>
                <w:szCs w:val="20"/>
              </w:rPr>
            </w:pPr>
            <w:r>
              <w:rPr>
                <w:sz w:val="20"/>
                <w:szCs w:val="20"/>
              </w:rPr>
              <w:t>Buen estado</w:t>
            </w:r>
          </w:p>
        </w:tc>
      </w:tr>
      <w:tr w:rsidR="00280590" w:rsidTr="0033552F">
        <w:tc>
          <w:tcPr>
            <w:tcW w:w="2207" w:type="dxa"/>
          </w:tcPr>
          <w:p w:rsidR="00280590" w:rsidRDefault="00280590" w:rsidP="006870C9">
            <w:r w:rsidRPr="00581F1F">
              <w:rPr>
                <w:rFonts w:ascii="Arial" w:hAnsi="Arial" w:cs="Arial"/>
                <w:color w:val="000000"/>
                <w:sz w:val="20"/>
                <w:szCs w:val="20"/>
                <w:lang w:eastAsia="es-MX"/>
              </w:rPr>
              <w:t>Equipo de cómputo y tecnologías de la información</w:t>
            </w:r>
          </w:p>
        </w:tc>
        <w:tc>
          <w:tcPr>
            <w:tcW w:w="2207" w:type="dxa"/>
            <w:vAlign w:val="center"/>
          </w:tcPr>
          <w:p w:rsidR="00280590" w:rsidRDefault="007445E0" w:rsidP="0033552F">
            <w:pPr>
              <w:jc w:val="center"/>
            </w:pPr>
            <w:r>
              <w:t>$1</w:t>
            </w:r>
            <w:r w:rsidR="00A8261F">
              <w:t>9</w:t>
            </w:r>
            <w:r>
              <w:t>,</w:t>
            </w:r>
            <w:r w:rsidR="00A8261F">
              <w:t>916</w:t>
            </w:r>
          </w:p>
        </w:tc>
        <w:tc>
          <w:tcPr>
            <w:tcW w:w="2207" w:type="dxa"/>
            <w:vAlign w:val="center"/>
          </w:tcPr>
          <w:p w:rsidR="00280590" w:rsidRPr="000A257B" w:rsidRDefault="00280590" w:rsidP="0033552F">
            <w:pPr>
              <w:jc w:val="center"/>
              <w:rPr>
                <w:sz w:val="20"/>
                <w:szCs w:val="20"/>
              </w:rPr>
            </w:pPr>
            <w:r>
              <w:rPr>
                <w:sz w:val="20"/>
                <w:szCs w:val="20"/>
              </w:rPr>
              <w:t>$</w:t>
            </w:r>
            <w:r w:rsidR="00A8261F">
              <w:rPr>
                <w:sz w:val="20"/>
                <w:szCs w:val="20"/>
              </w:rPr>
              <w:t>81</w:t>
            </w:r>
            <w:r>
              <w:rPr>
                <w:sz w:val="20"/>
                <w:szCs w:val="20"/>
              </w:rPr>
              <w:t>,</w:t>
            </w:r>
            <w:r w:rsidR="00A8261F">
              <w:rPr>
                <w:sz w:val="20"/>
                <w:szCs w:val="20"/>
              </w:rPr>
              <w:t>502</w:t>
            </w:r>
          </w:p>
        </w:tc>
        <w:tc>
          <w:tcPr>
            <w:tcW w:w="2207" w:type="dxa"/>
            <w:vAlign w:val="center"/>
          </w:tcPr>
          <w:p w:rsidR="00280590" w:rsidRPr="000A257B" w:rsidRDefault="00280590" w:rsidP="0033552F">
            <w:pPr>
              <w:jc w:val="center"/>
              <w:rPr>
                <w:sz w:val="20"/>
                <w:szCs w:val="20"/>
              </w:rPr>
            </w:pPr>
            <w:r>
              <w:rPr>
                <w:sz w:val="20"/>
                <w:szCs w:val="20"/>
              </w:rPr>
              <w:t>Buen estado</w:t>
            </w:r>
          </w:p>
        </w:tc>
      </w:tr>
    </w:tbl>
    <w:p w:rsidR="0016350B" w:rsidRPr="00581F1F" w:rsidRDefault="0016350B" w:rsidP="009306CB">
      <w:pPr>
        <w:pStyle w:val="Default"/>
        <w:jc w:val="both"/>
        <w:rPr>
          <w:sz w:val="16"/>
          <w:szCs w:val="16"/>
        </w:rPr>
      </w:pPr>
    </w:p>
    <w:p w:rsidR="0016350B" w:rsidRPr="00581F1F" w:rsidRDefault="0016350B" w:rsidP="009306CB">
      <w:pPr>
        <w:pStyle w:val="Default"/>
        <w:jc w:val="both"/>
        <w:rPr>
          <w:sz w:val="16"/>
          <w:szCs w:val="16"/>
        </w:rPr>
      </w:pPr>
    </w:p>
    <w:p w:rsidR="00C03D2A" w:rsidRPr="00581F1F" w:rsidRDefault="00C03D2A" w:rsidP="00007BA2">
      <w:pPr>
        <w:pStyle w:val="Default"/>
        <w:numPr>
          <w:ilvl w:val="0"/>
          <w:numId w:val="25"/>
        </w:numPr>
        <w:jc w:val="both"/>
        <w:rPr>
          <w:b/>
          <w:sz w:val="20"/>
          <w:szCs w:val="20"/>
          <w:u w:val="single"/>
        </w:rPr>
      </w:pPr>
      <w:r w:rsidRPr="00581F1F">
        <w:rPr>
          <w:b/>
          <w:sz w:val="20"/>
          <w:szCs w:val="20"/>
          <w:u w:val="single"/>
        </w:rPr>
        <w:t>Estimaciones y deterioros</w:t>
      </w:r>
    </w:p>
    <w:p w:rsidR="00C03D2A" w:rsidRPr="00581F1F" w:rsidRDefault="00C03D2A" w:rsidP="00C03D2A">
      <w:pPr>
        <w:pStyle w:val="Default"/>
        <w:jc w:val="both"/>
        <w:rPr>
          <w:sz w:val="20"/>
          <w:szCs w:val="20"/>
        </w:rPr>
      </w:pPr>
      <w:r w:rsidRPr="00581F1F">
        <w:rPr>
          <w:sz w:val="20"/>
          <w:szCs w:val="20"/>
        </w:rPr>
        <w:t xml:space="preserve">Al </w:t>
      </w:r>
      <w:r w:rsidR="0014484C">
        <w:rPr>
          <w:sz w:val="20"/>
          <w:szCs w:val="20"/>
        </w:rPr>
        <w:t>3</w:t>
      </w:r>
      <w:r w:rsidR="00FA435F">
        <w:rPr>
          <w:sz w:val="20"/>
          <w:szCs w:val="20"/>
        </w:rPr>
        <w:t>1</w:t>
      </w:r>
      <w:r w:rsidRPr="00581F1F">
        <w:rPr>
          <w:sz w:val="20"/>
          <w:szCs w:val="20"/>
        </w:rPr>
        <w:t xml:space="preserve"> de </w:t>
      </w:r>
      <w:r w:rsidR="00FA435F">
        <w:rPr>
          <w:sz w:val="20"/>
          <w:szCs w:val="20"/>
        </w:rPr>
        <w:t>diciembre</w:t>
      </w:r>
      <w:r w:rsidRPr="00581F1F">
        <w:rPr>
          <w:sz w:val="20"/>
          <w:szCs w:val="20"/>
        </w:rPr>
        <w:t xml:space="preserve"> de 20</w:t>
      </w:r>
      <w:r w:rsidR="00BC66BB">
        <w:rPr>
          <w:sz w:val="20"/>
          <w:szCs w:val="20"/>
        </w:rPr>
        <w:t>20</w:t>
      </w:r>
      <w:r w:rsidRPr="00581F1F">
        <w:rPr>
          <w:sz w:val="20"/>
          <w:szCs w:val="20"/>
        </w:rPr>
        <w:t xml:space="preserve"> y </w:t>
      </w:r>
      <w:r w:rsidR="006D02B2" w:rsidRPr="00581F1F">
        <w:rPr>
          <w:sz w:val="20"/>
          <w:szCs w:val="20"/>
        </w:rPr>
        <w:t>3</w:t>
      </w:r>
      <w:r w:rsidR="00D73043">
        <w:rPr>
          <w:sz w:val="20"/>
          <w:szCs w:val="20"/>
        </w:rPr>
        <w:t>0</w:t>
      </w:r>
      <w:r w:rsidR="006D02B2" w:rsidRPr="00581F1F">
        <w:rPr>
          <w:sz w:val="20"/>
          <w:szCs w:val="20"/>
        </w:rPr>
        <w:t xml:space="preserve"> de </w:t>
      </w:r>
      <w:r w:rsidR="00A8261F">
        <w:rPr>
          <w:sz w:val="20"/>
          <w:szCs w:val="20"/>
        </w:rPr>
        <w:t>septiembre</w:t>
      </w:r>
      <w:r w:rsidR="006D02B2" w:rsidRPr="00581F1F">
        <w:rPr>
          <w:sz w:val="20"/>
          <w:szCs w:val="20"/>
        </w:rPr>
        <w:t xml:space="preserve"> de </w:t>
      </w:r>
      <w:r w:rsidRPr="00581F1F">
        <w:rPr>
          <w:sz w:val="20"/>
          <w:szCs w:val="20"/>
        </w:rPr>
        <w:t>20</w:t>
      </w:r>
      <w:r w:rsidR="00B4366A">
        <w:rPr>
          <w:sz w:val="20"/>
          <w:szCs w:val="20"/>
        </w:rPr>
        <w:t>21</w:t>
      </w:r>
      <w:r w:rsidRPr="00581F1F">
        <w:rPr>
          <w:sz w:val="20"/>
          <w:szCs w:val="20"/>
        </w:rPr>
        <w:t xml:space="preserve"> las estimaciones y deterioros se integran de la siguiente manera:</w:t>
      </w:r>
    </w:p>
    <w:tbl>
      <w:tblPr>
        <w:tblW w:w="0" w:type="auto"/>
        <w:tblCellMar>
          <w:left w:w="70" w:type="dxa"/>
          <w:right w:w="70" w:type="dxa"/>
        </w:tblCellMar>
        <w:tblLook w:val="04A0" w:firstRow="1" w:lastRow="0" w:firstColumn="1" w:lastColumn="0" w:noHBand="0" w:noVBand="1"/>
      </w:tblPr>
      <w:tblGrid>
        <w:gridCol w:w="921"/>
        <w:gridCol w:w="686"/>
        <w:gridCol w:w="686"/>
        <w:gridCol w:w="686"/>
        <w:gridCol w:w="686"/>
        <w:gridCol w:w="146"/>
        <w:gridCol w:w="146"/>
        <w:gridCol w:w="146"/>
        <w:gridCol w:w="146"/>
        <w:gridCol w:w="146"/>
        <w:gridCol w:w="146"/>
        <w:gridCol w:w="146"/>
        <w:gridCol w:w="146"/>
        <w:gridCol w:w="160"/>
        <w:gridCol w:w="160"/>
        <w:gridCol w:w="1330"/>
        <w:gridCol w:w="160"/>
        <w:gridCol w:w="1330"/>
      </w:tblGrid>
      <w:tr w:rsidR="00E90D94" w:rsidRPr="00581F1F" w:rsidTr="00E90D94">
        <w:trPr>
          <w:trHeight w:val="300"/>
        </w:trPr>
        <w:tc>
          <w:tcPr>
            <w:tcW w:w="0" w:type="auto"/>
            <w:tcBorders>
              <w:top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p w:rsidR="00E90D94" w:rsidRPr="00581F1F" w:rsidRDefault="00E90D94" w:rsidP="00C03D2A">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160" w:type="dxa"/>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160" w:type="dxa"/>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1330" w:type="dxa"/>
            <w:tcBorders>
              <w:top w:val="nil"/>
              <w:left w:val="nil"/>
              <w:bottom w:val="nil"/>
              <w:right w:val="nil"/>
            </w:tcBorders>
            <w:shd w:val="clear" w:color="auto" w:fill="auto"/>
            <w:noWrap/>
            <w:vAlign w:val="bottom"/>
            <w:hideMark/>
          </w:tcPr>
          <w:p w:rsidR="00E90D94" w:rsidRPr="00581F1F" w:rsidRDefault="00E90D94" w:rsidP="00A11AE1">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w:t>
            </w:r>
            <w:r w:rsidR="00A11AE1">
              <w:rPr>
                <w:rFonts w:ascii="Arial" w:hAnsi="Arial" w:cs="Arial"/>
                <w:b/>
                <w:bCs/>
                <w:color w:val="000000"/>
                <w:sz w:val="20"/>
                <w:szCs w:val="20"/>
                <w:u w:val="single"/>
                <w:lang w:val="es-MX" w:eastAsia="es-MX"/>
              </w:rPr>
              <w:t>1</w:t>
            </w:r>
          </w:p>
        </w:tc>
        <w:tc>
          <w:tcPr>
            <w:tcW w:w="160" w:type="dxa"/>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B4366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4366A">
              <w:rPr>
                <w:rFonts w:ascii="Arial" w:hAnsi="Arial" w:cs="Arial"/>
                <w:b/>
                <w:bCs/>
                <w:color w:val="000000"/>
                <w:sz w:val="20"/>
                <w:szCs w:val="20"/>
                <w:u w:val="single"/>
                <w:lang w:val="es-MX" w:eastAsia="es-MX"/>
              </w:rPr>
              <w:t>20</w:t>
            </w:r>
          </w:p>
        </w:tc>
      </w:tr>
      <w:tr w:rsidR="00E90D94" w:rsidRPr="00581F1F" w:rsidTr="00E90D94">
        <w:trPr>
          <w:trHeight w:val="285"/>
        </w:trPr>
        <w:tc>
          <w:tcPr>
            <w:tcW w:w="0" w:type="auto"/>
            <w:tcBorders>
              <w:top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r w:rsidRPr="00581F1F">
              <w:rPr>
                <w:rFonts w:ascii="Arial" w:hAnsi="Arial" w:cs="Arial"/>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160" w:type="dxa"/>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160" w:type="dxa"/>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1330" w:type="dxa"/>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r>
      <w:tr w:rsidR="00E90D94" w:rsidRPr="00581F1F" w:rsidTr="00E90D94">
        <w:trPr>
          <w:trHeight w:val="285"/>
        </w:trPr>
        <w:tc>
          <w:tcPr>
            <w:tcW w:w="0" w:type="auto"/>
            <w:gridSpan w:val="5"/>
            <w:tcBorders>
              <w:top w:val="nil"/>
              <w:bottom w:val="nil"/>
              <w:right w:val="nil"/>
            </w:tcBorders>
            <w:shd w:val="clear" w:color="auto" w:fill="auto"/>
            <w:noWrap/>
            <w:vAlign w:val="bottom"/>
            <w:hideMark/>
          </w:tcPr>
          <w:p w:rsidR="00E90D94" w:rsidRPr="00581F1F" w:rsidRDefault="00E90D94" w:rsidP="009D4D70">
            <w:pP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Estimación para cuentas incobrables </w:t>
            </w: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right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160" w:type="dxa"/>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160" w:type="dxa"/>
            <w:tcBorders>
              <w:top w:val="nil"/>
              <w:bottom w:val="nil"/>
              <w:right w:val="nil"/>
            </w:tcBorders>
          </w:tcPr>
          <w:p w:rsidR="00E90D94" w:rsidRPr="00581F1F" w:rsidRDefault="00E90D94" w:rsidP="003950E4">
            <w:pPr>
              <w:jc w:val="center"/>
              <w:rPr>
                <w:rFonts w:ascii="Arial" w:hAnsi="Arial" w:cs="Arial"/>
                <w:color w:val="000000"/>
                <w:sz w:val="20"/>
                <w:szCs w:val="20"/>
                <w:lang w:val="es-MX" w:eastAsia="es-MX"/>
              </w:rPr>
            </w:pPr>
          </w:p>
        </w:tc>
        <w:tc>
          <w:tcPr>
            <w:tcW w:w="1330" w:type="dxa"/>
            <w:tcBorders>
              <w:top w:val="nil"/>
              <w:left w:val="nil"/>
              <w:bottom w:val="nil"/>
              <w:right w:val="nil"/>
            </w:tcBorders>
            <w:shd w:val="clear" w:color="auto" w:fill="auto"/>
            <w:noWrap/>
            <w:vAlign w:val="bottom"/>
            <w:hideMark/>
          </w:tcPr>
          <w:p w:rsidR="00E90D94" w:rsidRPr="00581F1F" w:rsidRDefault="00E90D94" w:rsidP="00A8261F">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r w:rsidR="0038791D">
              <w:rPr>
                <w:rFonts w:ascii="Arial" w:hAnsi="Arial" w:cs="Arial"/>
                <w:color w:val="000000"/>
                <w:sz w:val="20"/>
                <w:szCs w:val="20"/>
                <w:lang w:val="es-MX" w:eastAsia="es-MX"/>
              </w:rPr>
              <w:t>3</w:t>
            </w:r>
            <w:r w:rsidRPr="00581F1F">
              <w:rPr>
                <w:rFonts w:ascii="Arial" w:hAnsi="Arial" w:cs="Arial"/>
                <w:color w:val="000000"/>
                <w:sz w:val="20"/>
                <w:szCs w:val="20"/>
                <w:lang w:val="es-MX" w:eastAsia="es-MX"/>
              </w:rPr>
              <w:t>,</w:t>
            </w:r>
            <w:r w:rsidR="00131A0F">
              <w:rPr>
                <w:rFonts w:ascii="Arial" w:hAnsi="Arial" w:cs="Arial"/>
                <w:color w:val="000000"/>
                <w:sz w:val="20"/>
                <w:szCs w:val="20"/>
                <w:lang w:val="es-MX" w:eastAsia="es-MX"/>
              </w:rPr>
              <w:t>30</w:t>
            </w:r>
            <w:r w:rsidR="00A8261F">
              <w:rPr>
                <w:rFonts w:ascii="Arial" w:hAnsi="Arial" w:cs="Arial"/>
                <w:color w:val="000000"/>
                <w:sz w:val="20"/>
                <w:szCs w:val="20"/>
                <w:lang w:val="es-MX" w:eastAsia="es-MX"/>
              </w:rPr>
              <w:t>2</w:t>
            </w:r>
            <w:r w:rsidRPr="00581F1F">
              <w:rPr>
                <w:rFonts w:ascii="Arial" w:hAnsi="Arial" w:cs="Arial"/>
                <w:color w:val="000000"/>
                <w:sz w:val="20"/>
                <w:szCs w:val="20"/>
                <w:lang w:val="es-MX" w:eastAsia="es-MX"/>
              </w:rPr>
              <w:t>,</w:t>
            </w:r>
            <w:r w:rsidR="00A8261F">
              <w:rPr>
                <w:rFonts w:ascii="Arial" w:hAnsi="Arial" w:cs="Arial"/>
                <w:color w:val="000000"/>
                <w:sz w:val="20"/>
                <w:szCs w:val="20"/>
                <w:lang w:val="es-MX" w:eastAsia="es-MX"/>
              </w:rPr>
              <w:t>189</w:t>
            </w:r>
            <w:r w:rsidRPr="00581F1F">
              <w:rPr>
                <w:rFonts w:ascii="Arial" w:hAnsi="Arial" w:cs="Arial"/>
                <w:color w:val="000000"/>
                <w:sz w:val="20"/>
                <w:szCs w:val="20"/>
                <w:lang w:val="es-MX" w:eastAsia="es-MX"/>
              </w:rPr>
              <w:t>)</w:t>
            </w:r>
          </w:p>
        </w:tc>
        <w:tc>
          <w:tcPr>
            <w:tcW w:w="160" w:type="dxa"/>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B4366A">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r w:rsidR="00B4366A">
              <w:rPr>
                <w:rFonts w:ascii="Arial" w:hAnsi="Arial" w:cs="Arial"/>
                <w:color w:val="000000"/>
                <w:sz w:val="20"/>
                <w:szCs w:val="20"/>
                <w:lang w:val="es-MX" w:eastAsia="es-MX"/>
              </w:rPr>
              <w:t>3</w:t>
            </w:r>
            <w:r w:rsidRPr="00581F1F">
              <w:rPr>
                <w:rFonts w:ascii="Arial" w:hAnsi="Arial" w:cs="Arial"/>
                <w:color w:val="000000"/>
                <w:sz w:val="20"/>
                <w:szCs w:val="20"/>
                <w:lang w:val="es-MX" w:eastAsia="es-MX"/>
              </w:rPr>
              <w:t>,</w:t>
            </w:r>
            <w:r w:rsidR="00B4366A">
              <w:rPr>
                <w:rFonts w:ascii="Arial" w:hAnsi="Arial" w:cs="Arial"/>
                <w:color w:val="000000"/>
                <w:sz w:val="20"/>
                <w:szCs w:val="20"/>
                <w:lang w:val="es-MX" w:eastAsia="es-MX"/>
              </w:rPr>
              <w:t>268</w:t>
            </w:r>
            <w:r w:rsidRPr="00581F1F">
              <w:rPr>
                <w:rFonts w:ascii="Arial" w:hAnsi="Arial" w:cs="Arial"/>
                <w:color w:val="000000"/>
                <w:sz w:val="20"/>
                <w:szCs w:val="20"/>
                <w:lang w:val="es-MX" w:eastAsia="es-MX"/>
              </w:rPr>
              <w:t>,</w:t>
            </w:r>
            <w:r w:rsidR="00B4366A">
              <w:rPr>
                <w:rFonts w:ascii="Arial" w:hAnsi="Arial" w:cs="Arial"/>
                <w:color w:val="000000"/>
                <w:sz w:val="20"/>
                <w:szCs w:val="20"/>
                <w:lang w:val="es-MX" w:eastAsia="es-MX"/>
              </w:rPr>
              <w:t>720</w:t>
            </w:r>
            <w:r w:rsidRPr="00581F1F">
              <w:rPr>
                <w:rFonts w:ascii="Arial" w:hAnsi="Arial" w:cs="Arial"/>
                <w:color w:val="000000"/>
                <w:sz w:val="20"/>
                <w:szCs w:val="20"/>
                <w:lang w:val="es-MX" w:eastAsia="es-MX"/>
              </w:rPr>
              <w:t>)</w:t>
            </w:r>
          </w:p>
        </w:tc>
      </w:tr>
    </w:tbl>
    <w:p w:rsidR="00C03D2A" w:rsidRPr="00581F1F" w:rsidRDefault="00C03D2A" w:rsidP="00C03D2A">
      <w:pPr>
        <w:pStyle w:val="Default"/>
        <w:jc w:val="both"/>
        <w:rPr>
          <w:sz w:val="16"/>
          <w:szCs w:val="16"/>
        </w:rPr>
      </w:pPr>
    </w:p>
    <w:p w:rsidR="006D02B2" w:rsidRPr="00581F1F" w:rsidRDefault="003950E4" w:rsidP="003950E4">
      <w:pPr>
        <w:jc w:val="both"/>
        <w:rPr>
          <w:sz w:val="16"/>
          <w:szCs w:val="16"/>
        </w:rPr>
      </w:pPr>
      <w:r>
        <w:rPr>
          <w:rFonts w:ascii="Arial" w:hAnsi="Arial" w:cs="Arial"/>
          <w:sz w:val="20"/>
          <w:szCs w:val="20"/>
        </w:rPr>
        <w:t xml:space="preserve">Mensualmente </w:t>
      </w:r>
      <w:r w:rsidR="006D02B2" w:rsidRPr="00581F1F">
        <w:rPr>
          <w:rFonts w:ascii="Arial" w:hAnsi="Arial" w:cs="Arial"/>
          <w:sz w:val="20"/>
          <w:szCs w:val="20"/>
        </w:rPr>
        <w:t xml:space="preserve">se incrementa la estimación de cuentas incobrables por </w:t>
      </w:r>
      <w:r>
        <w:rPr>
          <w:rFonts w:ascii="Arial" w:hAnsi="Arial" w:cs="Arial"/>
          <w:sz w:val="20"/>
          <w:szCs w:val="20"/>
        </w:rPr>
        <w:t>el 10% del resultado del ejercicio.</w:t>
      </w:r>
    </w:p>
    <w:p w:rsidR="003950E4" w:rsidRDefault="00FA36E1" w:rsidP="00C03D2A">
      <w:pPr>
        <w:pStyle w:val="Default"/>
        <w:jc w:val="both"/>
        <w:rPr>
          <w:sz w:val="16"/>
          <w:szCs w:val="16"/>
        </w:rPr>
      </w:pPr>
      <w:r w:rsidRPr="00581F1F">
        <w:rPr>
          <w:sz w:val="20"/>
          <w:szCs w:val="20"/>
        </w:rPr>
        <w:t xml:space="preserve">La estimación de cuentas incobrables fue calificada bajo criterios de recuperabilidad </w:t>
      </w:r>
      <w:r w:rsidR="003950E4">
        <w:rPr>
          <w:sz w:val="20"/>
          <w:szCs w:val="20"/>
        </w:rPr>
        <w:t>y autorizada por el Comité Técnico del Fideicomiso AGROSON.</w:t>
      </w:r>
    </w:p>
    <w:p w:rsidR="00631B78" w:rsidRPr="00581F1F" w:rsidRDefault="00631B78" w:rsidP="00C03D2A">
      <w:pPr>
        <w:pStyle w:val="Default"/>
        <w:jc w:val="both"/>
        <w:rPr>
          <w:sz w:val="16"/>
          <w:szCs w:val="16"/>
        </w:rPr>
      </w:pPr>
    </w:p>
    <w:p w:rsidR="00ED6A55" w:rsidRPr="00581F1F" w:rsidRDefault="00ED6A55" w:rsidP="00C03D2A">
      <w:pPr>
        <w:pStyle w:val="Default"/>
        <w:jc w:val="both"/>
        <w:rPr>
          <w:b/>
          <w:sz w:val="20"/>
          <w:szCs w:val="20"/>
        </w:rPr>
      </w:pPr>
      <w:r w:rsidRPr="00581F1F">
        <w:rPr>
          <w:b/>
          <w:sz w:val="20"/>
          <w:szCs w:val="20"/>
        </w:rPr>
        <w:t>Pasivo</w:t>
      </w:r>
    </w:p>
    <w:p w:rsidR="00ED6A55" w:rsidRPr="00581F1F" w:rsidRDefault="00ED6A55" w:rsidP="00C03D2A">
      <w:pPr>
        <w:pStyle w:val="Default"/>
        <w:jc w:val="both"/>
        <w:rPr>
          <w:b/>
          <w:sz w:val="16"/>
          <w:szCs w:val="16"/>
        </w:rPr>
      </w:pPr>
    </w:p>
    <w:p w:rsidR="00ED6A55" w:rsidRPr="00581F1F" w:rsidRDefault="00ED6A55" w:rsidP="00007BA2">
      <w:pPr>
        <w:pStyle w:val="Default"/>
        <w:numPr>
          <w:ilvl w:val="0"/>
          <w:numId w:val="25"/>
        </w:numPr>
        <w:jc w:val="both"/>
        <w:rPr>
          <w:b/>
          <w:sz w:val="20"/>
          <w:szCs w:val="20"/>
          <w:u w:val="single"/>
        </w:rPr>
      </w:pPr>
      <w:r w:rsidRPr="00581F1F">
        <w:rPr>
          <w:b/>
          <w:sz w:val="20"/>
          <w:szCs w:val="20"/>
          <w:u w:val="single"/>
        </w:rPr>
        <w:t>Cuentas por pagar a corto plazo</w:t>
      </w:r>
    </w:p>
    <w:p w:rsidR="00ED6A55" w:rsidRPr="00581F1F" w:rsidRDefault="00ED6A55" w:rsidP="00ED6A55">
      <w:pPr>
        <w:pStyle w:val="Default"/>
        <w:jc w:val="both"/>
        <w:rPr>
          <w:sz w:val="20"/>
          <w:szCs w:val="20"/>
        </w:rPr>
      </w:pPr>
      <w:r w:rsidRPr="00581F1F">
        <w:rPr>
          <w:sz w:val="20"/>
          <w:szCs w:val="20"/>
        </w:rPr>
        <w:t xml:space="preserve">Este rubro se integra de la siguiente manera al </w:t>
      </w:r>
      <w:r w:rsidR="003950E4">
        <w:rPr>
          <w:sz w:val="20"/>
          <w:szCs w:val="20"/>
        </w:rPr>
        <w:t>3</w:t>
      </w:r>
      <w:r w:rsidR="00FA435F">
        <w:rPr>
          <w:sz w:val="20"/>
          <w:szCs w:val="20"/>
        </w:rPr>
        <w:t>1</w:t>
      </w:r>
      <w:r w:rsidRPr="00581F1F">
        <w:rPr>
          <w:sz w:val="20"/>
          <w:szCs w:val="20"/>
        </w:rPr>
        <w:t xml:space="preserve"> de </w:t>
      </w:r>
      <w:r w:rsidR="00FA435F">
        <w:rPr>
          <w:sz w:val="20"/>
          <w:szCs w:val="20"/>
        </w:rPr>
        <w:t>dici</w:t>
      </w:r>
      <w:r w:rsidR="00267C67">
        <w:rPr>
          <w:sz w:val="20"/>
          <w:szCs w:val="20"/>
        </w:rPr>
        <w:t>embre</w:t>
      </w:r>
      <w:r w:rsidRPr="00581F1F">
        <w:rPr>
          <w:sz w:val="20"/>
          <w:szCs w:val="20"/>
        </w:rPr>
        <w:t xml:space="preserve"> de 20</w:t>
      </w:r>
      <w:r w:rsidR="00BC66BB">
        <w:rPr>
          <w:sz w:val="20"/>
          <w:szCs w:val="20"/>
        </w:rPr>
        <w:t>20</w:t>
      </w:r>
      <w:r w:rsidRPr="00581F1F">
        <w:rPr>
          <w:sz w:val="20"/>
          <w:szCs w:val="20"/>
        </w:rPr>
        <w:t xml:space="preserve"> y </w:t>
      </w:r>
      <w:r w:rsidR="0006441D" w:rsidRPr="00581F1F">
        <w:rPr>
          <w:sz w:val="20"/>
          <w:szCs w:val="20"/>
        </w:rPr>
        <w:t>3</w:t>
      </w:r>
      <w:r w:rsidR="00526843">
        <w:rPr>
          <w:sz w:val="20"/>
          <w:szCs w:val="20"/>
        </w:rPr>
        <w:t>0</w:t>
      </w:r>
      <w:r w:rsidR="0006441D" w:rsidRPr="00581F1F">
        <w:rPr>
          <w:sz w:val="20"/>
          <w:szCs w:val="20"/>
        </w:rPr>
        <w:t xml:space="preserve"> de </w:t>
      </w:r>
      <w:r w:rsidR="00C00CCD">
        <w:rPr>
          <w:sz w:val="20"/>
          <w:szCs w:val="20"/>
        </w:rPr>
        <w:t>septiembre</w:t>
      </w:r>
      <w:r w:rsidR="0006441D" w:rsidRPr="00581F1F">
        <w:rPr>
          <w:sz w:val="20"/>
          <w:szCs w:val="20"/>
        </w:rPr>
        <w:t xml:space="preserve"> de </w:t>
      </w:r>
      <w:r w:rsidRPr="00581F1F">
        <w:rPr>
          <w:sz w:val="20"/>
          <w:szCs w:val="20"/>
        </w:rPr>
        <w:t>20</w:t>
      </w:r>
      <w:r w:rsidR="00B4366A">
        <w:rPr>
          <w:sz w:val="20"/>
          <w:szCs w:val="20"/>
        </w:rPr>
        <w:t>21</w:t>
      </w:r>
      <w:r w:rsidRPr="00581F1F">
        <w:rPr>
          <w:sz w:val="20"/>
          <w:szCs w:val="20"/>
        </w:rPr>
        <w:t>:</w:t>
      </w:r>
    </w:p>
    <w:p w:rsidR="00ED6A55" w:rsidRPr="00581F1F" w:rsidRDefault="00ED6A55" w:rsidP="00ED6A55">
      <w:pPr>
        <w:pStyle w:val="Default"/>
        <w:jc w:val="both"/>
        <w:rPr>
          <w:sz w:val="16"/>
          <w:szCs w:val="16"/>
        </w:rPr>
      </w:pPr>
    </w:p>
    <w:tbl>
      <w:tblPr>
        <w:tblW w:w="0" w:type="auto"/>
        <w:tblCellMar>
          <w:left w:w="70" w:type="dxa"/>
          <w:right w:w="70" w:type="dxa"/>
        </w:tblCellMar>
        <w:tblLook w:val="04A0" w:firstRow="1" w:lastRow="0" w:firstColumn="1" w:lastColumn="0" w:noHBand="0" w:noVBand="1"/>
      </w:tblPr>
      <w:tblGrid>
        <w:gridCol w:w="1443"/>
        <w:gridCol w:w="1076"/>
        <w:gridCol w:w="1076"/>
        <w:gridCol w:w="1076"/>
        <w:gridCol w:w="195"/>
        <w:gridCol w:w="1253"/>
        <w:gridCol w:w="146"/>
        <w:gridCol w:w="1419"/>
      </w:tblGrid>
      <w:tr w:rsidR="00B83173" w:rsidRPr="00581F1F" w:rsidTr="0016350B">
        <w:trPr>
          <w:trHeight w:val="300"/>
        </w:trPr>
        <w:tc>
          <w:tcPr>
            <w:tcW w:w="0" w:type="auto"/>
            <w:tcBorders>
              <w:top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2801C6">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w:t>
            </w:r>
            <w:r w:rsidR="002801C6">
              <w:rPr>
                <w:rFonts w:ascii="Arial" w:hAnsi="Arial" w:cs="Arial"/>
                <w:b/>
                <w:bCs/>
                <w:color w:val="000000"/>
                <w:sz w:val="20"/>
                <w:szCs w:val="20"/>
                <w:u w:val="single"/>
                <w:lang w:val="es-MX" w:eastAsia="es-MX"/>
              </w:rPr>
              <w:t>1</w:t>
            </w: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4366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4366A">
              <w:rPr>
                <w:rFonts w:ascii="Arial" w:hAnsi="Arial" w:cs="Arial"/>
                <w:b/>
                <w:bCs/>
                <w:color w:val="000000"/>
                <w:sz w:val="20"/>
                <w:szCs w:val="20"/>
                <w:u w:val="single"/>
                <w:lang w:val="es-MX" w:eastAsia="es-MX"/>
              </w:rPr>
              <w:t>20</w:t>
            </w:r>
          </w:p>
        </w:tc>
      </w:tr>
      <w:tr w:rsidR="00B83173" w:rsidRPr="00581F1F" w:rsidTr="0016350B">
        <w:trPr>
          <w:trHeight w:val="285"/>
        </w:trPr>
        <w:tc>
          <w:tcPr>
            <w:tcW w:w="0" w:type="auto"/>
            <w:tcBorders>
              <w:top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r w:rsidRPr="00581F1F">
              <w:rPr>
                <w:rFonts w:ascii="Arial" w:hAnsi="Arial" w:cs="Arial"/>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r>
      <w:tr w:rsidR="00504EE2" w:rsidRPr="00581F1F" w:rsidTr="0016350B">
        <w:trPr>
          <w:trHeight w:val="285"/>
        </w:trPr>
        <w:tc>
          <w:tcPr>
            <w:tcW w:w="0" w:type="auto"/>
            <w:gridSpan w:val="4"/>
            <w:tcBorders>
              <w:top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r w:rsidRPr="00581F1F">
              <w:rPr>
                <w:rFonts w:ascii="Arial" w:hAnsi="Arial" w:cs="Arial"/>
                <w:color w:val="000000"/>
                <w:sz w:val="20"/>
                <w:szCs w:val="20"/>
                <w:lang w:val="es-MX" w:eastAsia="es-MX"/>
              </w:rPr>
              <w:t>Otras cuentas por pagar a corto plazo</w:t>
            </w:r>
          </w:p>
        </w:tc>
        <w:tc>
          <w:tcPr>
            <w:tcW w:w="0" w:type="auto"/>
            <w:tcBorders>
              <w:top w:val="nil"/>
              <w:left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131A0F">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131A0F">
              <w:rPr>
                <w:rFonts w:ascii="Arial" w:hAnsi="Arial" w:cs="Arial"/>
                <w:color w:val="000000"/>
                <w:sz w:val="20"/>
                <w:szCs w:val="20"/>
                <w:lang w:val="es-MX" w:eastAsia="es-MX"/>
              </w:rPr>
              <w:t>967</w:t>
            </w:r>
            <w:r w:rsidRPr="00581F1F">
              <w:rPr>
                <w:rFonts w:ascii="Arial" w:hAnsi="Arial" w:cs="Arial"/>
                <w:color w:val="000000"/>
                <w:sz w:val="20"/>
                <w:szCs w:val="20"/>
                <w:lang w:val="es-MX" w:eastAsia="es-MX"/>
              </w:rPr>
              <w:t>,</w:t>
            </w:r>
            <w:r w:rsidR="00A11AE1">
              <w:rPr>
                <w:rFonts w:ascii="Arial" w:hAnsi="Arial" w:cs="Arial"/>
                <w:color w:val="000000"/>
                <w:sz w:val="20"/>
                <w:szCs w:val="20"/>
                <w:lang w:val="es-MX" w:eastAsia="es-MX"/>
              </w:rPr>
              <w:t>2</w:t>
            </w:r>
            <w:r w:rsidR="00131A0F">
              <w:rPr>
                <w:rFonts w:ascii="Arial" w:hAnsi="Arial" w:cs="Arial"/>
                <w:color w:val="000000"/>
                <w:sz w:val="20"/>
                <w:szCs w:val="20"/>
                <w:lang w:val="es-MX" w:eastAsia="es-MX"/>
              </w:rPr>
              <w:t>6</w:t>
            </w:r>
            <w:r w:rsidR="00A11AE1">
              <w:rPr>
                <w:rFonts w:ascii="Arial" w:hAnsi="Arial" w:cs="Arial"/>
                <w:color w:val="000000"/>
                <w:sz w:val="20"/>
                <w:szCs w:val="20"/>
                <w:lang w:val="es-MX" w:eastAsia="es-MX"/>
              </w:rPr>
              <w:t>5</w:t>
            </w:r>
          </w:p>
        </w:tc>
        <w:tc>
          <w:tcPr>
            <w:tcW w:w="0" w:type="auto"/>
            <w:tcBorders>
              <w:top w:val="nil"/>
              <w:left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B4366A">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1,</w:t>
            </w:r>
            <w:r w:rsidR="00175D85">
              <w:rPr>
                <w:rFonts w:ascii="Arial" w:hAnsi="Arial" w:cs="Arial"/>
                <w:color w:val="000000"/>
                <w:sz w:val="20"/>
                <w:szCs w:val="20"/>
                <w:lang w:val="es-MX" w:eastAsia="es-MX"/>
              </w:rPr>
              <w:t>1</w:t>
            </w:r>
            <w:r w:rsidR="00B4366A">
              <w:rPr>
                <w:rFonts w:ascii="Arial" w:hAnsi="Arial" w:cs="Arial"/>
                <w:color w:val="000000"/>
                <w:sz w:val="20"/>
                <w:szCs w:val="20"/>
                <w:lang w:val="es-MX" w:eastAsia="es-MX"/>
              </w:rPr>
              <w:t>26</w:t>
            </w:r>
            <w:r w:rsidRPr="00581F1F">
              <w:rPr>
                <w:rFonts w:ascii="Arial" w:hAnsi="Arial" w:cs="Arial"/>
                <w:color w:val="000000"/>
                <w:sz w:val="20"/>
                <w:szCs w:val="20"/>
                <w:lang w:val="es-MX" w:eastAsia="es-MX"/>
              </w:rPr>
              <w:t>,</w:t>
            </w:r>
            <w:r w:rsidR="00B4366A">
              <w:rPr>
                <w:rFonts w:ascii="Arial" w:hAnsi="Arial" w:cs="Arial"/>
                <w:color w:val="000000"/>
                <w:sz w:val="20"/>
                <w:szCs w:val="20"/>
                <w:lang w:val="es-MX" w:eastAsia="es-MX"/>
              </w:rPr>
              <w:t>436</w:t>
            </w:r>
          </w:p>
        </w:tc>
      </w:tr>
      <w:tr w:rsidR="00504EE2" w:rsidRPr="00581F1F" w:rsidTr="0016350B">
        <w:trPr>
          <w:trHeight w:val="285"/>
        </w:trPr>
        <w:tc>
          <w:tcPr>
            <w:tcW w:w="0" w:type="auto"/>
            <w:gridSpan w:val="5"/>
            <w:tcBorders>
              <w:top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r w:rsidRPr="00581F1F">
              <w:rPr>
                <w:rFonts w:ascii="Arial" w:hAnsi="Arial" w:cs="Arial"/>
                <w:color w:val="000000"/>
                <w:sz w:val="20"/>
                <w:szCs w:val="20"/>
                <w:lang w:val="es-MX" w:eastAsia="es-MX"/>
              </w:rPr>
              <w:t>Retenciones y contribuciones por pagar a corto plazo</w:t>
            </w:r>
          </w:p>
        </w:tc>
        <w:tc>
          <w:tcPr>
            <w:tcW w:w="0" w:type="auto"/>
            <w:tcBorders>
              <w:top w:val="nil"/>
              <w:left w:val="nil"/>
              <w:bottom w:val="nil"/>
              <w:right w:val="nil"/>
            </w:tcBorders>
            <w:shd w:val="clear" w:color="auto" w:fill="auto"/>
            <w:noWrap/>
            <w:vAlign w:val="bottom"/>
            <w:hideMark/>
          </w:tcPr>
          <w:p w:rsidR="00504EE2" w:rsidRPr="00581F1F" w:rsidRDefault="00504EE2" w:rsidP="00C00CCD">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C00CCD">
              <w:rPr>
                <w:rFonts w:ascii="Arial" w:hAnsi="Arial" w:cs="Arial"/>
                <w:color w:val="000000"/>
                <w:sz w:val="20"/>
                <w:szCs w:val="20"/>
                <w:lang w:val="es-MX" w:eastAsia="es-MX"/>
              </w:rPr>
              <w:t>31</w:t>
            </w:r>
            <w:r w:rsidRPr="00581F1F">
              <w:rPr>
                <w:rFonts w:ascii="Arial" w:hAnsi="Arial" w:cs="Arial"/>
                <w:color w:val="000000"/>
                <w:sz w:val="20"/>
                <w:szCs w:val="20"/>
                <w:lang w:val="es-MX" w:eastAsia="es-MX"/>
              </w:rPr>
              <w:t>,</w:t>
            </w:r>
            <w:r w:rsidR="00C00CCD">
              <w:rPr>
                <w:rFonts w:ascii="Arial" w:hAnsi="Arial" w:cs="Arial"/>
                <w:color w:val="000000"/>
                <w:sz w:val="20"/>
                <w:szCs w:val="20"/>
                <w:lang w:val="es-MX" w:eastAsia="es-MX"/>
              </w:rPr>
              <w:t>585</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B4366A">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1</w:t>
            </w:r>
            <w:r w:rsidR="00B4366A">
              <w:rPr>
                <w:rFonts w:ascii="Arial" w:hAnsi="Arial" w:cs="Arial"/>
                <w:color w:val="000000"/>
                <w:sz w:val="20"/>
                <w:szCs w:val="20"/>
                <w:lang w:val="es-MX" w:eastAsia="es-MX"/>
              </w:rPr>
              <w:t>7</w:t>
            </w:r>
            <w:r w:rsidRPr="00581F1F">
              <w:rPr>
                <w:rFonts w:ascii="Arial" w:hAnsi="Arial" w:cs="Arial"/>
                <w:color w:val="000000"/>
                <w:sz w:val="20"/>
                <w:szCs w:val="20"/>
                <w:lang w:val="es-MX" w:eastAsia="es-MX"/>
              </w:rPr>
              <w:t>,</w:t>
            </w:r>
            <w:r w:rsidR="00B4366A">
              <w:rPr>
                <w:rFonts w:ascii="Arial" w:hAnsi="Arial" w:cs="Arial"/>
                <w:color w:val="000000"/>
                <w:sz w:val="20"/>
                <w:szCs w:val="20"/>
                <w:lang w:val="es-MX" w:eastAsia="es-MX"/>
              </w:rPr>
              <w:t>663</w:t>
            </w:r>
            <w:r w:rsidRPr="00581F1F">
              <w:rPr>
                <w:rFonts w:ascii="Arial" w:hAnsi="Arial" w:cs="Arial"/>
                <w:color w:val="000000"/>
                <w:sz w:val="20"/>
                <w:szCs w:val="20"/>
                <w:lang w:val="es-MX" w:eastAsia="es-MX"/>
              </w:rPr>
              <w:t xml:space="preserve"> </w:t>
            </w:r>
          </w:p>
        </w:tc>
      </w:tr>
      <w:tr w:rsidR="00093D0D" w:rsidRPr="00581F1F" w:rsidTr="0016350B">
        <w:trPr>
          <w:trHeight w:val="315"/>
        </w:trPr>
        <w:tc>
          <w:tcPr>
            <w:tcW w:w="0" w:type="auto"/>
            <w:tcBorders>
              <w:top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093D0D" w:rsidRPr="00581F1F" w:rsidRDefault="00093D0D" w:rsidP="00C00CCD">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Pr="007C7E84">
              <w:rPr>
                <w:rFonts w:ascii="Arial" w:hAnsi="Arial" w:cs="Arial"/>
                <w:b/>
                <w:bCs/>
                <w:color w:val="000000"/>
                <w:sz w:val="20"/>
                <w:szCs w:val="20"/>
                <w:lang w:val="es-MX" w:eastAsia="es-MX"/>
              </w:rPr>
              <w:t xml:space="preserve">$    </w:t>
            </w:r>
            <w:r w:rsidR="00131A0F">
              <w:rPr>
                <w:rFonts w:ascii="Arial" w:hAnsi="Arial" w:cs="Arial"/>
                <w:b/>
                <w:bCs/>
                <w:color w:val="000000"/>
                <w:sz w:val="20"/>
                <w:szCs w:val="20"/>
                <w:lang w:val="es-MX" w:eastAsia="es-MX"/>
              </w:rPr>
              <w:t>99</w:t>
            </w:r>
            <w:r w:rsidR="00C00CCD">
              <w:rPr>
                <w:rFonts w:ascii="Arial" w:hAnsi="Arial" w:cs="Arial"/>
                <w:b/>
                <w:bCs/>
                <w:color w:val="000000"/>
                <w:sz w:val="20"/>
                <w:szCs w:val="20"/>
                <w:lang w:val="es-MX" w:eastAsia="es-MX"/>
              </w:rPr>
              <w:t>8</w:t>
            </w:r>
            <w:r w:rsidRPr="007C7E84">
              <w:rPr>
                <w:rFonts w:ascii="Arial" w:hAnsi="Arial" w:cs="Arial"/>
                <w:b/>
                <w:bCs/>
                <w:color w:val="000000"/>
                <w:sz w:val="20"/>
                <w:szCs w:val="20"/>
                <w:lang w:val="es-MX" w:eastAsia="es-MX"/>
              </w:rPr>
              <w:t>,</w:t>
            </w:r>
            <w:r w:rsidR="00C00CCD">
              <w:rPr>
                <w:rFonts w:ascii="Arial" w:hAnsi="Arial" w:cs="Arial"/>
                <w:b/>
                <w:bCs/>
                <w:color w:val="000000"/>
                <w:sz w:val="20"/>
                <w:szCs w:val="20"/>
                <w:lang w:val="es-MX" w:eastAsia="es-MX"/>
              </w:rPr>
              <w:t>850</w:t>
            </w:r>
            <w:r w:rsidRPr="00581F1F">
              <w:rPr>
                <w:rFonts w:ascii="Arial" w:hAnsi="Arial" w:cs="Arial"/>
                <w:b/>
                <w:bCs/>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093D0D" w:rsidRPr="00581F1F" w:rsidRDefault="00093D0D" w:rsidP="00B4366A">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    </w:t>
            </w:r>
            <w:r w:rsidR="00551F4E">
              <w:rPr>
                <w:rFonts w:ascii="Arial" w:hAnsi="Arial" w:cs="Arial"/>
                <w:b/>
                <w:bCs/>
                <w:color w:val="000000"/>
                <w:sz w:val="20"/>
                <w:szCs w:val="20"/>
                <w:lang w:val="es-MX" w:eastAsia="es-MX"/>
              </w:rPr>
              <w:t>1</w:t>
            </w:r>
            <w:r w:rsidRPr="00581F1F">
              <w:rPr>
                <w:rFonts w:ascii="Arial" w:hAnsi="Arial" w:cs="Arial"/>
                <w:b/>
                <w:bCs/>
                <w:color w:val="000000"/>
                <w:sz w:val="20"/>
                <w:szCs w:val="20"/>
                <w:lang w:val="es-MX" w:eastAsia="es-MX"/>
              </w:rPr>
              <w:t>,</w:t>
            </w:r>
            <w:r w:rsidR="00B4366A">
              <w:rPr>
                <w:rFonts w:ascii="Arial" w:hAnsi="Arial" w:cs="Arial"/>
                <w:b/>
                <w:bCs/>
                <w:color w:val="000000"/>
                <w:sz w:val="20"/>
                <w:szCs w:val="20"/>
                <w:lang w:val="es-MX" w:eastAsia="es-MX"/>
              </w:rPr>
              <w:t>144</w:t>
            </w:r>
            <w:r w:rsidRPr="00581F1F">
              <w:rPr>
                <w:rFonts w:ascii="Arial" w:hAnsi="Arial" w:cs="Arial"/>
                <w:b/>
                <w:bCs/>
                <w:color w:val="000000"/>
                <w:sz w:val="20"/>
                <w:szCs w:val="20"/>
                <w:lang w:val="es-MX" w:eastAsia="es-MX"/>
              </w:rPr>
              <w:t>,</w:t>
            </w:r>
            <w:r w:rsidR="00B4366A">
              <w:rPr>
                <w:rFonts w:ascii="Arial" w:hAnsi="Arial" w:cs="Arial"/>
                <w:b/>
                <w:bCs/>
                <w:color w:val="000000"/>
                <w:sz w:val="20"/>
                <w:szCs w:val="20"/>
                <w:lang w:val="es-MX" w:eastAsia="es-MX"/>
              </w:rPr>
              <w:t>099</w:t>
            </w:r>
            <w:r w:rsidRPr="00581F1F">
              <w:rPr>
                <w:rFonts w:ascii="Arial" w:hAnsi="Arial" w:cs="Arial"/>
                <w:b/>
                <w:bCs/>
                <w:color w:val="000000"/>
                <w:sz w:val="20"/>
                <w:szCs w:val="20"/>
                <w:lang w:val="es-MX" w:eastAsia="es-MX"/>
              </w:rPr>
              <w:t xml:space="preserve"> </w:t>
            </w:r>
          </w:p>
        </w:tc>
      </w:tr>
    </w:tbl>
    <w:p w:rsidR="00B83173" w:rsidRPr="00581F1F" w:rsidRDefault="00B83173" w:rsidP="00ED6A55">
      <w:pPr>
        <w:pStyle w:val="Default"/>
        <w:jc w:val="both"/>
        <w:rPr>
          <w:sz w:val="16"/>
          <w:szCs w:val="16"/>
        </w:rPr>
      </w:pPr>
    </w:p>
    <w:p w:rsidR="00551F4E" w:rsidRDefault="00551F4E" w:rsidP="00ED6A55">
      <w:pPr>
        <w:pStyle w:val="Default"/>
        <w:jc w:val="both"/>
        <w:rPr>
          <w:sz w:val="20"/>
          <w:szCs w:val="20"/>
        </w:rPr>
      </w:pPr>
    </w:p>
    <w:p w:rsidR="008F4181" w:rsidRDefault="008F4181" w:rsidP="008F4181">
      <w:pPr>
        <w:pStyle w:val="Default"/>
        <w:jc w:val="both"/>
        <w:rPr>
          <w:sz w:val="20"/>
          <w:szCs w:val="20"/>
          <w:lang w:eastAsia="es-MX"/>
        </w:rPr>
      </w:pPr>
      <w:r w:rsidRPr="00252799">
        <w:rPr>
          <w:sz w:val="20"/>
          <w:szCs w:val="20"/>
          <w:lang w:eastAsia="es-MX"/>
        </w:rPr>
        <w:t>A continuación se presenta la desagregación por vencimientos de las cuentas por pagar:</w:t>
      </w:r>
    </w:p>
    <w:p w:rsidR="008F4181" w:rsidRDefault="008F4181" w:rsidP="00ED6A55">
      <w:pPr>
        <w:pStyle w:val="Default"/>
        <w:jc w:val="both"/>
        <w:rPr>
          <w:sz w:val="20"/>
          <w:szCs w:val="20"/>
        </w:rPr>
      </w:pPr>
    </w:p>
    <w:tbl>
      <w:tblPr>
        <w:tblW w:w="9428" w:type="dxa"/>
        <w:tblCellMar>
          <w:left w:w="0" w:type="dxa"/>
          <w:right w:w="0" w:type="dxa"/>
        </w:tblCellMar>
        <w:tblLook w:val="04A0" w:firstRow="1" w:lastRow="0" w:firstColumn="1" w:lastColumn="0" w:noHBand="0" w:noVBand="1"/>
      </w:tblPr>
      <w:tblGrid>
        <w:gridCol w:w="2207"/>
        <w:gridCol w:w="1332"/>
        <w:gridCol w:w="1418"/>
        <w:gridCol w:w="2551"/>
        <w:gridCol w:w="1920"/>
      </w:tblGrid>
      <w:tr w:rsidR="008F4181" w:rsidRPr="00FE309E" w:rsidTr="00C84B55">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181" w:rsidRPr="00FE309E" w:rsidRDefault="00252799" w:rsidP="00C84B55">
            <w:pPr>
              <w:rPr>
                <w:lang w:eastAsia="es-MX"/>
              </w:rPr>
            </w:pPr>
            <w:r>
              <w:rPr>
                <w:lang w:eastAsia="es-MX"/>
              </w:rPr>
              <w:t>Cuentas por pagar:</w:t>
            </w:r>
          </w:p>
          <w:p w:rsidR="008F4181" w:rsidRPr="00FE309E" w:rsidRDefault="008F4181" w:rsidP="00C00CCD">
            <w:pPr>
              <w:rPr>
                <w:lang w:eastAsia="es-MX"/>
              </w:rPr>
            </w:pPr>
            <w:r w:rsidRPr="00FE309E">
              <w:rPr>
                <w:lang w:eastAsia="es-MX"/>
              </w:rPr>
              <w:t>$</w:t>
            </w:r>
            <w:r>
              <w:rPr>
                <w:lang w:eastAsia="es-MX"/>
              </w:rPr>
              <w:t>99</w:t>
            </w:r>
            <w:r w:rsidR="00C00CCD">
              <w:rPr>
                <w:lang w:eastAsia="es-MX"/>
              </w:rPr>
              <w:t>8</w:t>
            </w:r>
            <w:r w:rsidRPr="00FE309E">
              <w:rPr>
                <w:lang w:eastAsia="es-MX"/>
              </w:rPr>
              <w:t>,</w:t>
            </w:r>
            <w:r w:rsidR="00C00CCD">
              <w:rPr>
                <w:lang w:eastAsia="es-MX"/>
              </w:rPr>
              <w:t>850</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181" w:rsidRDefault="008F4181" w:rsidP="00C84B55">
            <w:pPr>
              <w:rPr>
                <w:lang w:eastAsia="es-MX"/>
              </w:rPr>
            </w:pPr>
            <w:r w:rsidRPr="00FE309E">
              <w:rPr>
                <w:lang w:eastAsia="es-MX"/>
              </w:rPr>
              <w:t>A 90 días</w:t>
            </w:r>
          </w:p>
          <w:p w:rsidR="008F4181" w:rsidRPr="00FE309E" w:rsidRDefault="008F4181" w:rsidP="00C00CCD">
            <w:pPr>
              <w:rPr>
                <w:lang w:eastAsia="es-MX"/>
              </w:rPr>
            </w:pPr>
            <w:r>
              <w:rPr>
                <w:lang w:eastAsia="es-MX"/>
              </w:rPr>
              <w:t>$</w:t>
            </w:r>
            <w:r w:rsidR="00C00CCD">
              <w:rPr>
                <w:lang w:eastAsia="es-MX"/>
              </w:rPr>
              <w:t>31</w:t>
            </w:r>
            <w:r>
              <w:rPr>
                <w:lang w:eastAsia="es-MX"/>
              </w:rPr>
              <w:t>,</w:t>
            </w:r>
            <w:r w:rsidR="00C00CCD">
              <w:rPr>
                <w:lang w:eastAsia="es-MX"/>
              </w:rPr>
              <w:t>585</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181" w:rsidRPr="00FE309E" w:rsidRDefault="008F4181" w:rsidP="00C84B55">
            <w:pPr>
              <w:rPr>
                <w:lang w:eastAsia="es-MX"/>
              </w:rPr>
            </w:pPr>
            <w:r w:rsidRPr="00FE309E">
              <w:rPr>
                <w:lang w:eastAsia="es-MX"/>
              </w:rPr>
              <w:t>A 180 días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181" w:rsidRPr="00FE309E" w:rsidRDefault="008F4181" w:rsidP="00C84B55">
            <w:pPr>
              <w:rPr>
                <w:lang w:eastAsia="es-MX"/>
              </w:rPr>
            </w:pPr>
            <w:r w:rsidRPr="00FE309E">
              <w:rPr>
                <w:lang w:eastAsia="es-MX"/>
              </w:rPr>
              <w:t>Menor o igual a 365 días</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181" w:rsidRDefault="008F4181" w:rsidP="00C84B55">
            <w:pPr>
              <w:rPr>
                <w:lang w:eastAsia="es-MX"/>
              </w:rPr>
            </w:pPr>
            <w:r w:rsidRPr="00FE309E">
              <w:rPr>
                <w:lang w:eastAsia="es-MX"/>
              </w:rPr>
              <w:t>Mayor a 365 días</w:t>
            </w:r>
          </w:p>
          <w:p w:rsidR="008F4181" w:rsidRPr="00FE309E" w:rsidRDefault="008F4181" w:rsidP="00C84B55">
            <w:pPr>
              <w:rPr>
                <w:lang w:eastAsia="es-MX"/>
              </w:rPr>
            </w:pPr>
            <w:r>
              <w:rPr>
                <w:lang w:eastAsia="es-MX"/>
              </w:rPr>
              <w:t>$967,265</w:t>
            </w:r>
          </w:p>
        </w:tc>
      </w:tr>
    </w:tbl>
    <w:p w:rsidR="008F4181" w:rsidRDefault="008F4181" w:rsidP="00ED6A55">
      <w:pPr>
        <w:pStyle w:val="Default"/>
        <w:jc w:val="both"/>
        <w:rPr>
          <w:sz w:val="20"/>
          <w:szCs w:val="20"/>
        </w:rPr>
      </w:pPr>
    </w:p>
    <w:p w:rsidR="008F4181" w:rsidRDefault="008F4181" w:rsidP="00ED6A55">
      <w:pPr>
        <w:pStyle w:val="Default"/>
        <w:jc w:val="both"/>
        <w:rPr>
          <w:sz w:val="20"/>
          <w:szCs w:val="20"/>
        </w:rPr>
      </w:pPr>
    </w:p>
    <w:p w:rsidR="008F4181" w:rsidRDefault="008F4181" w:rsidP="00ED6A55">
      <w:pPr>
        <w:pStyle w:val="Default"/>
        <w:jc w:val="both"/>
        <w:rPr>
          <w:sz w:val="20"/>
          <w:szCs w:val="20"/>
        </w:rPr>
      </w:pPr>
    </w:p>
    <w:p w:rsidR="00713060" w:rsidRPr="00581F1F" w:rsidRDefault="00713060" w:rsidP="00ED6A55">
      <w:pPr>
        <w:pStyle w:val="Default"/>
        <w:jc w:val="both"/>
        <w:rPr>
          <w:sz w:val="20"/>
          <w:szCs w:val="20"/>
        </w:rPr>
      </w:pPr>
      <w:r w:rsidRPr="00581F1F">
        <w:rPr>
          <w:sz w:val="20"/>
          <w:szCs w:val="20"/>
        </w:rPr>
        <w:t xml:space="preserve">La integración de las retenciones y contribuciones por pagar a corto plazo al </w:t>
      </w:r>
      <w:r w:rsidR="00AC66EF">
        <w:rPr>
          <w:sz w:val="20"/>
          <w:szCs w:val="20"/>
        </w:rPr>
        <w:t>3</w:t>
      </w:r>
      <w:r w:rsidR="00FA435F">
        <w:rPr>
          <w:sz w:val="20"/>
          <w:szCs w:val="20"/>
        </w:rPr>
        <w:t>1</w:t>
      </w:r>
      <w:r w:rsidRPr="00581F1F">
        <w:rPr>
          <w:sz w:val="20"/>
          <w:szCs w:val="20"/>
        </w:rPr>
        <w:t xml:space="preserve"> de </w:t>
      </w:r>
      <w:r w:rsidR="00FA435F">
        <w:rPr>
          <w:sz w:val="20"/>
          <w:szCs w:val="20"/>
        </w:rPr>
        <w:t>dic</w:t>
      </w:r>
      <w:r w:rsidR="00267C67">
        <w:rPr>
          <w:sz w:val="20"/>
          <w:szCs w:val="20"/>
        </w:rPr>
        <w:t>iembre</w:t>
      </w:r>
      <w:r w:rsidRPr="00581F1F">
        <w:rPr>
          <w:sz w:val="20"/>
          <w:szCs w:val="20"/>
        </w:rPr>
        <w:t xml:space="preserve"> de 20</w:t>
      </w:r>
      <w:r w:rsidR="00BC66BB">
        <w:rPr>
          <w:sz w:val="20"/>
          <w:szCs w:val="20"/>
        </w:rPr>
        <w:t>20</w:t>
      </w:r>
      <w:r w:rsidR="00037999" w:rsidRPr="00581F1F">
        <w:rPr>
          <w:sz w:val="20"/>
          <w:szCs w:val="20"/>
        </w:rPr>
        <w:t xml:space="preserve"> y </w:t>
      </w:r>
      <w:r w:rsidR="00563C0E" w:rsidRPr="00581F1F">
        <w:rPr>
          <w:sz w:val="20"/>
          <w:szCs w:val="20"/>
        </w:rPr>
        <w:t>3</w:t>
      </w:r>
      <w:r w:rsidR="00C00CCD">
        <w:rPr>
          <w:sz w:val="20"/>
          <w:szCs w:val="20"/>
        </w:rPr>
        <w:t>0</w:t>
      </w:r>
      <w:r w:rsidR="00563C0E" w:rsidRPr="00581F1F">
        <w:rPr>
          <w:sz w:val="20"/>
          <w:szCs w:val="20"/>
        </w:rPr>
        <w:t xml:space="preserve"> de </w:t>
      </w:r>
      <w:r w:rsidR="00C00CCD">
        <w:rPr>
          <w:sz w:val="20"/>
          <w:szCs w:val="20"/>
        </w:rPr>
        <w:t>septiembre</w:t>
      </w:r>
      <w:r w:rsidR="00563C0E" w:rsidRPr="00581F1F">
        <w:rPr>
          <w:sz w:val="20"/>
          <w:szCs w:val="20"/>
        </w:rPr>
        <w:t xml:space="preserve"> de </w:t>
      </w:r>
      <w:r w:rsidR="00037999" w:rsidRPr="00581F1F">
        <w:rPr>
          <w:sz w:val="20"/>
          <w:szCs w:val="20"/>
        </w:rPr>
        <w:t>20</w:t>
      </w:r>
      <w:r w:rsidR="00B4366A">
        <w:rPr>
          <w:sz w:val="20"/>
          <w:szCs w:val="20"/>
        </w:rPr>
        <w:t>21</w:t>
      </w:r>
      <w:r w:rsidR="00037999" w:rsidRPr="00581F1F">
        <w:rPr>
          <w:sz w:val="20"/>
          <w:szCs w:val="20"/>
        </w:rPr>
        <w:t xml:space="preserve"> </w:t>
      </w:r>
      <w:r w:rsidRPr="00581F1F">
        <w:rPr>
          <w:sz w:val="20"/>
          <w:szCs w:val="20"/>
        </w:rPr>
        <w:t>e</w:t>
      </w:r>
      <w:r w:rsidR="009D4D70">
        <w:rPr>
          <w:sz w:val="20"/>
          <w:szCs w:val="20"/>
        </w:rPr>
        <w:t>s</w:t>
      </w:r>
      <w:r w:rsidRPr="00581F1F">
        <w:rPr>
          <w:sz w:val="20"/>
          <w:szCs w:val="20"/>
        </w:rPr>
        <w:t xml:space="preserve"> de la siguiente manera:</w:t>
      </w:r>
    </w:p>
    <w:tbl>
      <w:tblPr>
        <w:tblW w:w="0" w:type="auto"/>
        <w:tblCellMar>
          <w:left w:w="70" w:type="dxa"/>
          <w:right w:w="70" w:type="dxa"/>
        </w:tblCellMar>
        <w:tblLook w:val="04A0" w:firstRow="1" w:lastRow="0" w:firstColumn="1" w:lastColumn="0" w:noHBand="0" w:noVBand="1"/>
      </w:tblPr>
      <w:tblGrid>
        <w:gridCol w:w="1494"/>
        <w:gridCol w:w="1114"/>
        <w:gridCol w:w="765"/>
        <w:gridCol w:w="160"/>
        <w:gridCol w:w="146"/>
        <w:gridCol w:w="146"/>
        <w:gridCol w:w="146"/>
        <w:gridCol w:w="146"/>
        <w:gridCol w:w="146"/>
        <w:gridCol w:w="146"/>
        <w:gridCol w:w="146"/>
        <w:gridCol w:w="146"/>
        <w:gridCol w:w="146"/>
        <w:gridCol w:w="146"/>
        <w:gridCol w:w="1252"/>
        <w:gridCol w:w="146"/>
        <w:gridCol w:w="1363"/>
      </w:tblGrid>
      <w:tr w:rsidR="00551F4E" w:rsidRPr="00581F1F" w:rsidTr="00042844">
        <w:trPr>
          <w:trHeight w:val="300"/>
        </w:trPr>
        <w:tc>
          <w:tcPr>
            <w:tcW w:w="0" w:type="auto"/>
            <w:tcBorders>
              <w:top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765"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150330">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w:t>
            </w:r>
            <w:r w:rsidR="00150330">
              <w:rPr>
                <w:rFonts w:ascii="Arial" w:hAnsi="Arial" w:cs="Arial"/>
                <w:b/>
                <w:bCs/>
                <w:color w:val="000000"/>
                <w:sz w:val="20"/>
                <w:szCs w:val="20"/>
                <w:u w:val="single"/>
                <w:lang w:val="es-MX" w:eastAsia="es-MX"/>
              </w:rPr>
              <w:t>1</w:t>
            </w: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B4366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4366A">
              <w:rPr>
                <w:rFonts w:ascii="Arial" w:hAnsi="Arial" w:cs="Arial"/>
                <w:b/>
                <w:bCs/>
                <w:color w:val="000000"/>
                <w:sz w:val="20"/>
                <w:szCs w:val="20"/>
                <w:u w:val="single"/>
                <w:lang w:val="es-MX" w:eastAsia="es-MX"/>
              </w:rPr>
              <w:t>20</w:t>
            </w:r>
          </w:p>
        </w:tc>
      </w:tr>
      <w:tr w:rsidR="00551F4E" w:rsidRPr="00581F1F" w:rsidTr="00042844">
        <w:trPr>
          <w:trHeight w:val="285"/>
        </w:trPr>
        <w:tc>
          <w:tcPr>
            <w:tcW w:w="0" w:type="auto"/>
            <w:tcBorders>
              <w:top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r w:rsidRPr="00581F1F">
              <w:rPr>
                <w:rFonts w:ascii="Arial" w:hAnsi="Arial" w:cs="Arial"/>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765"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r>
      <w:tr w:rsidR="00551F4E" w:rsidRPr="00581F1F" w:rsidTr="00042844">
        <w:trPr>
          <w:trHeight w:val="285"/>
        </w:trPr>
        <w:tc>
          <w:tcPr>
            <w:tcW w:w="0" w:type="auto"/>
            <w:gridSpan w:val="2"/>
            <w:tcBorders>
              <w:top w:val="nil"/>
              <w:bottom w:val="nil"/>
              <w:right w:val="nil"/>
            </w:tcBorders>
            <w:shd w:val="clear" w:color="auto" w:fill="auto"/>
            <w:noWrap/>
            <w:vAlign w:val="bottom"/>
            <w:hideMark/>
          </w:tcPr>
          <w:p w:rsidR="00551F4E" w:rsidRPr="00581F1F" w:rsidRDefault="00551F4E" w:rsidP="008A1E7A">
            <w:pPr>
              <w:rPr>
                <w:rFonts w:ascii="Arial" w:hAnsi="Arial" w:cs="Arial"/>
                <w:color w:val="000000"/>
                <w:sz w:val="20"/>
                <w:szCs w:val="20"/>
                <w:lang w:val="es-MX" w:eastAsia="es-MX"/>
              </w:rPr>
            </w:pPr>
            <w:r>
              <w:rPr>
                <w:rFonts w:ascii="Arial" w:hAnsi="Arial" w:cs="Arial"/>
                <w:color w:val="000000"/>
                <w:sz w:val="20"/>
                <w:szCs w:val="20"/>
                <w:lang w:val="es-MX" w:eastAsia="es-MX"/>
              </w:rPr>
              <w:t>ISR Arrendamientos</w:t>
            </w:r>
          </w:p>
        </w:tc>
        <w:tc>
          <w:tcPr>
            <w:tcW w:w="765" w:type="dxa"/>
            <w:tcBorders>
              <w:top w:val="nil"/>
              <w:left w:val="nil"/>
              <w:bottom w:val="nil"/>
              <w:right w:val="nil"/>
            </w:tcBorders>
            <w:shd w:val="clear" w:color="auto" w:fill="auto"/>
            <w:noWrap/>
            <w:vAlign w:val="bottom"/>
            <w:hideMark/>
          </w:tcPr>
          <w:p w:rsidR="00551F4E" w:rsidRPr="00581F1F" w:rsidRDefault="00551F4E" w:rsidP="008A1E7A">
            <w:pPr>
              <w:rPr>
                <w:rFonts w:ascii="Arial" w:hAnsi="Arial" w:cs="Arial"/>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8A1E7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8A1E7A">
            <w:pPr>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38791D">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F7766E">
              <w:rPr>
                <w:rFonts w:ascii="Arial" w:hAnsi="Arial" w:cs="Arial"/>
                <w:color w:val="000000"/>
                <w:sz w:val="20"/>
                <w:szCs w:val="20"/>
                <w:lang w:val="es-MX" w:eastAsia="es-MX"/>
              </w:rPr>
              <w:t>1</w:t>
            </w:r>
            <w:r>
              <w:rPr>
                <w:rFonts w:ascii="Arial" w:hAnsi="Arial" w:cs="Arial"/>
                <w:color w:val="000000"/>
                <w:sz w:val="20"/>
                <w:szCs w:val="20"/>
                <w:lang w:val="es-MX" w:eastAsia="es-MX"/>
              </w:rPr>
              <w:t>,</w:t>
            </w:r>
            <w:r w:rsidR="0038791D">
              <w:rPr>
                <w:rFonts w:ascii="Arial" w:hAnsi="Arial" w:cs="Arial"/>
                <w:color w:val="000000"/>
                <w:sz w:val="20"/>
                <w:szCs w:val="20"/>
                <w:lang w:val="es-MX" w:eastAsia="es-MX"/>
              </w:rPr>
              <w:t>100</w:t>
            </w:r>
          </w:p>
        </w:tc>
        <w:tc>
          <w:tcPr>
            <w:tcW w:w="0" w:type="auto"/>
            <w:tcBorders>
              <w:top w:val="nil"/>
              <w:left w:val="nil"/>
              <w:bottom w:val="nil"/>
              <w:right w:val="nil"/>
            </w:tcBorders>
            <w:shd w:val="clear" w:color="auto" w:fill="auto"/>
            <w:noWrap/>
            <w:vAlign w:val="bottom"/>
            <w:hideMark/>
          </w:tcPr>
          <w:p w:rsidR="00551F4E" w:rsidRPr="00581F1F" w:rsidRDefault="00551F4E" w:rsidP="008A1E7A">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B4366A">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Pr>
                <w:rFonts w:ascii="Arial" w:hAnsi="Arial" w:cs="Arial"/>
                <w:color w:val="000000"/>
                <w:sz w:val="20"/>
                <w:szCs w:val="20"/>
                <w:lang w:val="es-MX" w:eastAsia="es-MX"/>
              </w:rPr>
              <w:t>1</w:t>
            </w:r>
            <w:r w:rsidRPr="00581F1F">
              <w:rPr>
                <w:rFonts w:ascii="Arial" w:hAnsi="Arial" w:cs="Arial"/>
                <w:color w:val="000000"/>
                <w:sz w:val="20"/>
                <w:szCs w:val="20"/>
                <w:lang w:val="es-MX" w:eastAsia="es-MX"/>
              </w:rPr>
              <w:t>,</w:t>
            </w:r>
            <w:r w:rsidR="00B4366A">
              <w:rPr>
                <w:rFonts w:ascii="Arial" w:hAnsi="Arial" w:cs="Arial"/>
                <w:color w:val="000000"/>
                <w:sz w:val="20"/>
                <w:szCs w:val="20"/>
                <w:lang w:val="es-MX" w:eastAsia="es-MX"/>
              </w:rPr>
              <w:t>100</w:t>
            </w:r>
            <w:r w:rsidRPr="00581F1F">
              <w:rPr>
                <w:rFonts w:ascii="Arial" w:hAnsi="Arial" w:cs="Arial"/>
                <w:color w:val="000000"/>
                <w:sz w:val="20"/>
                <w:szCs w:val="20"/>
                <w:lang w:val="es-MX" w:eastAsia="es-MX"/>
              </w:rPr>
              <w:t xml:space="preserve"> </w:t>
            </w:r>
          </w:p>
        </w:tc>
      </w:tr>
      <w:tr w:rsidR="00551F4E" w:rsidRPr="00581F1F" w:rsidTr="00042844">
        <w:trPr>
          <w:trHeight w:val="285"/>
        </w:trPr>
        <w:tc>
          <w:tcPr>
            <w:tcW w:w="0" w:type="auto"/>
            <w:gridSpan w:val="2"/>
            <w:tcBorders>
              <w:top w:val="nil"/>
              <w:bottom w:val="nil"/>
              <w:right w:val="nil"/>
            </w:tcBorders>
            <w:shd w:val="clear" w:color="auto" w:fill="auto"/>
            <w:noWrap/>
            <w:vAlign w:val="bottom"/>
            <w:hideMark/>
          </w:tcPr>
          <w:p w:rsidR="00551F4E" w:rsidRPr="00581F1F" w:rsidRDefault="00551F4E" w:rsidP="00551F4E">
            <w:pPr>
              <w:rPr>
                <w:rFonts w:ascii="Arial" w:hAnsi="Arial" w:cs="Arial"/>
                <w:color w:val="000000"/>
                <w:sz w:val="20"/>
                <w:szCs w:val="20"/>
                <w:lang w:val="es-MX" w:eastAsia="es-MX"/>
              </w:rPr>
            </w:pPr>
            <w:r w:rsidRPr="00581F1F">
              <w:rPr>
                <w:rFonts w:ascii="Arial" w:hAnsi="Arial" w:cs="Arial"/>
                <w:color w:val="000000"/>
                <w:sz w:val="20"/>
                <w:szCs w:val="20"/>
                <w:lang w:val="es-MX" w:eastAsia="es-MX"/>
              </w:rPr>
              <w:t>ISR S</w:t>
            </w:r>
            <w:r>
              <w:rPr>
                <w:rFonts w:ascii="Arial" w:hAnsi="Arial" w:cs="Arial"/>
                <w:color w:val="000000"/>
                <w:sz w:val="20"/>
                <w:szCs w:val="20"/>
                <w:lang w:val="es-MX" w:eastAsia="es-MX"/>
              </w:rPr>
              <w:t>ervicios Profesionales</w:t>
            </w:r>
          </w:p>
        </w:tc>
        <w:tc>
          <w:tcPr>
            <w:tcW w:w="765" w:type="dxa"/>
            <w:tcBorders>
              <w:top w:val="nil"/>
              <w:left w:val="nil"/>
              <w:bottom w:val="nil"/>
              <w:right w:val="nil"/>
            </w:tcBorders>
            <w:shd w:val="clear" w:color="auto" w:fill="auto"/>
            <w:noWrap/>
            <w:vAlign w:val="bottom"/>
            <w:hideMark/>
          </w:tcPr>
          <w:p w:rsidR="00551F4E" w:rsidRPr="00581F1F" w:rsidRDefault="00551F4E" w:rsidP="00DD62BD">
            <w:pPr>
              <w:rPr>
                <w:rFonts w:ascii="Arial" w:hAnsi="Arial" w:cs="Arial"/>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DD62BD">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DD62BD">
            <w:pPr>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C00CCD" w:rsidP="00C00CCD">
            <w:pPr>
              <w:jc w:val="right"/>
              <w:rPr>
                <w:rFonts w:ascii="Arial" w:hAnsi="Arial" w:cs="Arial"/>
                <w:color w:val="000000"/>
                <w:sz w:val="20"/>
                <w:szCs w:val="20"/>
                <w:lang w:val="es-MX" w:eastAsia="es-MX"/>
              </w:rPr>
            </w:pPr>
            <w:r>
              <w:rPr>
                <w:rFonts w:ascii="Arial" w:hAnsi="Arial" w:cs="Arial"/>
                <w:color w:val="000000"/>
                <w:sz w:val="20"/>
                <w:szCs w:val="20"/>
                <w:lang w:val="es-MX" w:eastAsia="es-MX"/>
              </w:rPr>
              <w:t>30</w:t>
            </w:r>
            <w:r w:rsidR="00551F4E">
              <w:rPr>
                <w:rFonts w:ascii="Arial" w:hAnsi="Arial" w:cs="Arial"/>
                <w:color w:val="000000"/>
                <w:sz w:val="20"/>
                <w:szCs w:val="20"/>
                <w:lang w:val="es-MX" w:eastAsia="es-MX"/>
              </w:rPr>
              <w:t>,</w:t>
            </w:r>
            <w:r>
              <w:rPr>
                <w:rFonts w:ascii="Arial" w:hAnsi="Arial" w:cs="Arial"/>
                <w:color w:val="000000"/>
                <w:sz w:val="20"/>
                <w:szCs w:val="20"/>
                <w:lang w:val="es-MX" w:eastAsia="es-MX"/>
              </w:rPr>
              <w:t>485</w:t>
            </w:r>
          </w:p>
        </w:tc>
        <w:tc>
          <w:tcPr>
            <w:tcW w:w="0" w:type="auto"/>
            <w:tcBorders>
              <w:top w:val="nil"/>
              <w:left w:val="nil"/>
              <w:bottom w:val="nil"/>
              <w:right w:val="nil"/>
            </w:tcBorders>
            <w:shd w:val="clear" w:color="auto" w:fill="auto"/>
            <w:noWrap/>
            <w:vAlign w:val="bottom"/>
            <w:hideMark/>
          </w:tcPr>
          <w:p w:rsidR="00551F4E" w:rsidRPr="00581F1F" w:rsidRDefault="00551F4E" w:rsidP="00DD62BD">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B4366A">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1</w:t>
            </w:r>
            <w:r w:rsidR="00B4366A">
              <w:rPr>
                <w:rFonts w:ascii="Arial" w:hAnsi="Arial" w:cs="Arial"/>
                <w:color w:val="000000"/>
                <w:sz w:val="20"/>
                <w:szCs w:val="20"/>
                <w:lang w:val="es-MX" w:eastAsia="es-MX"/>
              </w:rPr>
              <w:t>6</w:t>
            </w:r>
            <w:r w:rsidRPr="00581F1F">
              <w:rPr>
                <w:rFonts w:ascii="Arial" w:hAnsi="Arial" w:cs="Arial"/>
                <w:color w:val="000000"/>
                <w:sz w:val="20"/>
                <w:szCs w:val="20"/>
                <w:lang w:val="es-MX" w:eastAsia="es-MX"/>
              </w:rPr>
              <w:t>,</w:t>
            </w:r>
            <w:r w:rsidR="00B4366A">
              <w:rPr>
                <w:rFonts w:ascii="Arial" w:hAnsi="Arial" w:cs="Arial"/>
                <w:color w:val="000000"/>
                <w:sz w:val="20"/>
                <w:szCs w:val="20"/>
                <w:lang w:val="es-MX" w:eastAsia="es-MX"/>
              </w:rPr>
              <w:t>563</w:t>
            </w:r>
            <w:r w:rsidRPr="00581F1F">
              <w:rPr>
                <w:rFonts w:ascii="Arial" w:hAnsi="Arial" w:cs="Arial"/>
                <w:color w:val="000000"/>
                <w:sz w:val="20"/>
                <w:szCs w:val="20"/>
                <w:lang w:val="es-MX" w:eastAsia="es-MX"/>
              </w:rPr>
              <w:t xml:space="preserve"> </w:t>
            </w:r>
          </w:p>
        </w:tc>
      </w:tr>
      <w:tr w:rsidR="00551F4E" w:rsidRPr="00581F1F" w:rsidTr="00042844">
        <w:trPr>
          <w:trHeight w:val="315"/>
        </w:trPr>
        <w:tc>
          <w:tcPr>
            <w:tcW w:w="0" w:type="auto"/>
            <w:tcBorders>
              <w:top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765"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51F4E" w:rsidRPr="00581F1F" w:rsidRDefault="00551F4E" w:rsidP="00C00CCD">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      </w:t>
            </w:r>
            <w:r w:rsidR="00C00CCD">
              <w:rPr>
                <w:rFonts w:ascii="Arial" w:hAnsi="Arial" w:cs="Arial"/>
                <w:b/>
                <w:bCs/>
                <w:color w:val="000000"/>
                <w:sz w:val="20"/>
                <w:szCs w:val="20"/>
                <w:lang w:val="es-MX" w:eastAsia="es-MX"/>
              </w:rPr>
              <w:t>31</w:t>
            </w:r>
            <w:r w:rsidR="00FA435F">
              <w:rPr>
                <w:rFonts w:ascii="Arial" w:hAnsi="Arial" w:cs="Arial"/>
                <w:b/>
                <w:bCs/>
                <w:color w:val="000000"/>
                <w:sz w:val="20"/>
                <w:szCs w:val="20"/>
                <w:lang w:val="es-MX" w:eastAsia="es-MX"/>
              </w:rPr>
              <w:t>,</w:t>
            </w:r>
            <w:r w:rsidR="00C00CCD">
              <w:rPr>
                <w:rFonts w:ascii="Arial" w:hAnsi="Arial" w:cs="Arial"/>
                <w:b/>
                <w:bCs/>
                <w:color w:val="000000"/>
                <w:sz w:val="20"/>
                <w:szCs w:val="20"/>
                <w:lang w:val="es-MX" w:eastAsia="es-MX"/>
              </w:rPr>
              <w:t>585</w:t>
            </w:r>
            <w:r w:rsidRPr="00581F1F">
              <w:rPr>
                <w:rFonts w:ascii="Arial" w:hAnsi="Arial" w:cs="Arial"/>
                <w:b/>
                <w:bCs/>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51F4E" w:rsidRPr="00581F1F" w:rsidRDefault="00551F4E" w:rsidP="00037999">
            <w:pPr>
              <w:jc w:val="right"/>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51F4E" w:rsidRPr="00581F1F" w:rsidRDefault="00551F4E" w:rsidP="00B4366A">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      </w:t>
            </w:r>
            <w:r w:rsidR="00BC66BB">
              <w:rPr>
                <w:rFonts w:ascii="Arial" w:hAnsi="Arial" w:cs="Arial"/>
                <w:b/>
                <w:bCs/>
                <w:color w:val="000000"/>
                <w:sz w:val="20"/>
                <w:szCs w:val="20"/>
                <w:lang w:val="es-MX" w:eastAsia="es-MX"/>
              </w:rPr>
              <w:t>1</w:t>
            </w:r>
            <w:r w:rsidR="00B4366A">
              <w:rPr>
                <w:rFonts w:ascii="Arial" w:hAnsi="Arial" w:cs="Arial"/>
                <w:b/>
                <w:bCs/>
                <w:color w:val="000000"/>
                <w:sz w:val="20"/>
                <w:szCs w:val="20"/>
                <w:lang w:val="es-MX" w:eastAsia="es-MX"/>
              </w:rPr>
              <w:t>7</w:t>
            </w:r>
            <w:r w:rsidRPr="00581F1F">
              <w:rPr>
                <w:rFonts w:ascii="Arial" w:hAnsi="Arial" w:cs="Arial"/>
                <w:b/>
                <w:bCs/>
                <w:color w:val="000000"/>
                <w:sz w:val="20"/>
                <w:szCs w:val="20"/>
                <w:lang w:val="es-MX" w:eastAsia="es-MX"/>
              </w:rPr>
              <w:t>,</w:t>
            </w:r>
            <w:r w:rsidR="00B4366A">
              <w:rPr>
                <w:rFonts w:ascii="Arial" w:hAnsi="Arial" w:cs="Arial"/>
                <w:b/>
                <w:bCs/>
                <w:color w:val="000000"/>
                <w:sz w:val="20"/>
                <w:szCs w:val="20"/>
                <w:lang w:val="es-MX" w:eastAsia="es-MX"/>
              </w:rPr>
              <w:t>663</w:t>
            </w:r>
            <w:r w:rsidRPr="00581F1F">
              <w:rPr>
                <w:rFonts w:ascii="Arial" w:hAnsi="Arial" w:cs="Arial"/>
                <w:b/>
                <w:bCs/>
                <w:color w:val="000000"/>
                <w:sz w:val="20"/>
                <w:szCs w:val="20"/>
                <w:lang w:val="es-MX" w:eastAsia="es-MX"/>
              </w:rPr>
              <w:t xml:space="preserve"> </w:t>
            </w:r>
          </w:p>
        </w:tc>
      </w:tr>
    </w:tbl>
    <w:p w:rsidR="00713060" w:rsidRPr="00581F1F" w:rsidRDefault="00713060" w:rsidP="00ED6A55">
      <w:pPr>
        <w:pStyle w:val="Default"/>
        <w:jc w:val="both"/>
        <w:rPr>
          <w:sz w:val="20"/>
          <w:szCs w:val="20"/>
        </w:rPr>
      </w:pPr>
    </w:p>
    <w:p w:rsidR="00551F4E" w:rsidRDefault="00551F4E" w:rsidP="00ED6A55">
      <w:pPr>
        <w:pStyle w:val="Default"/>
        <w:jc w:val="both"/>
        <w:rPr>
          <w:sz w:val="20"/>
          <w:szCs w:val="20"/>
        </w:rPr>
      </w:pPr>
    </w:p>
    <w:tbl>
      <w:tblPr>
        <w:tblpPr w:leftFromText="141" w:rightFromText="141" w:vertAnchor="text" w:horzAnchor="page" w:tblpX="5751" w:tblpY="57"/>
        <w:tblW w:w="0" w:type="auto"/>
        <w:tblCellMar>
          <w:left w:w="70" w:type="dxa"/>
          <w:right w:w="70" w:type="dxa"/>
        </w:tblCellMar>
        <w:tblLook w:val="04A0" w:firstRow="1" w:lastRow="0" w:firstColumn="1" w:lastColumn="0" w:noHBand="0" w:noVBand="1"/>
      </w:tblPr>
      <w:tblGrid>
        <w:gridCol w:w="1330"/>
        <w:gridCol w:w="160"/>
        <w:gridCol w:w="1264"/>
      </w:tblGrid>
      <w:tr w:rsidR="0023402A" w:rsidRPr="00581F1F" w:rsidTr="0023402A">
        <w:trPr>
          <w:trHeight w:val="300"/>
        </w:trPr>
        <w:tc>
          <w:tcPr>
            <w:tcW w:w="1330" w:type="dxa"/>
            <w:tcBorders>
              <w:top w:val="nil"/>
              <w:left w:val="nil"/>
              <w:bottom w:val="nil"/>
              <w:right w:val="nil"/>
            </w:tcBorders>
            <w:shd w:val="clear" w:color="auto" w:fill="auto"/>
            <w:noWrap/>
            <w:vAlign w:val="bottom"/>
            <w:hideMark/>
          </w:tcPr>
          <w:p w:rsidR="0023402A" w:rsidRPr="00581F1F" w:rsidRDefault="0023402A" w:rsidP="002801C6">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Pr>
                <w:rFonts w:ascii="Arial" w:hAnsi="Arial" w:cs="Arial"/>
                <w:b/>
                <w:bCs/>
                <w:color w:val="000000"/>
                <w:sz w:val="20"/>
                <w:szCs w:val="20"/>
                <w:u w:val="single"/>
                <w:lang w:val="es-MX" w:eastAsia="es-MX"/>
              </w:rPr>
              <w:t>2</w:t>
            </w:r>
            <w:r w:rsidR="002801C6">
              <w:rPr>
                <w:rFonts w:ascii="Arial" w:hAnsi="Arial" w:cs="Arial"/>
                <w:b/>
                <w:bCs/>
                <w:color w:val="000000"/>
                <w:sz w:val="20"/>
                <w:szCs w:val="20"/>
                <w:u w:val="single"/>
                <w:lang w:val="es-MX" w:eastAsia="es-MX"/>
              </w:rPr>
              <w:t>1</w:t>
            </w:r>
          </w:p>
        </w:tc>
        <w:tc>
          <w:tcPr>
            <w:tcW w:w="160" w:type="dxa"/>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23402A" w:rsidRPr="00581F1F" w:rsidRDefault="0023402A" w:rsidP="00B4366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4366A">
              <w:rPr>
                <w:rFonts w:ascii="Arial" w:hAnsi="Arial" w:cs="Arial"/>
                <w:b/>
                <w:bCs/>
                <w:color w:val="000000"/>
                <w:sz w:val="20"/>
                <w:szCs w:val="20"/>
                <w:u w:val="single"/>
                <w:lang w:val="es-MX" w:eastAsia="es-MX"/>
              </w:rPr>
              <w:t>20</w:t>
            </w:r>
          </w:p>
        </w:tc>
      </w:tr>
      <w:tr w:rsidR="0023402A" w:rsidRPr="00581F1F" w:rsidTr="0023402A">
        <w:trPr>
          <w:trHeight w:val="285"/>
        </w:trPr>
        <w:tc>
          <w:tcPr>
            <w:tcW w:w="1330" w:type="dxa"/>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16"/>
                <w:szCs w:val="16"/>
                <w:lang w:val="es-MX" w:eastAsia="es-MX"/>
              </w:rPr>
            </w:pPr>
          </w:p>
        </w:tc>
      </w:tr>
      <w:tr w:rsidR="0023402A" w:rsidRPr="00581F1F" w:rsidTr="0023402A">
        <w:trPr>
          <w:trHeight w:val="285"/>
        </w:trPr>
        <w:tc>
          <w:tcPr>
            <w:tcW w:w="1330" w:type="dxa"/>
            <w:tcBorders>
              <w:top w:val="nil"/>
              <w:left w:val="nil"/>
              <w:bottom w:val="nil"/>
              <w:right w:val="nil"/>
            </w:tcBorders>
            <w:shd w:val="clear" w:color="auto" w:fill="auto"/>
            <w:noWrap/>
            <w:vAlign w:val="bottom"/>
            <w:hideMark/>
          </w:tcPr>
          <w:p w:rsidR="0023402A" w:rsidRPr="00581F1F" w:rsidRDefault="0023402A" w:rsidP="00C00CCD">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2801C6">
              <w:rPr>
                <w:rFonts w:ascii="Arial" w:hAnsi="Arial" w:cs="Arial"/>
                <w:color w:val="000000"/>
                <w:sz w:val="20"/>
                <w:szCs w:val="20"/>
                <w:lang w:val="es-MX" w:eastAsia="es-MX"/>
              </w:rPr>
              <w:t>2</w:t>
            </w:r>
            <w:r w:rsidRPr="00581F1F">
              <w:rPr>
                <w:rFonts w:ascii="Arial" w:hAnsi="Arial" w:cs="Arial"/>
                <w:color w:val="000000"/>
                <w:sz w:val="20"/>
                <w:szCs w:val="20"/>
                <w:lang w:val="es-MX" w:eastAsia="es-MX"/>
              </w:rPr>
              <w:t>,</w:t>
            </w:r>
            <w:r w:rsidR="00C00CCD">
              <w:rPr>
                <w:rFonts w:ascii="Arial" w:hAnsi="Arial" w:cs="Arial"/>
                <w:color w:val="000000"/>
                <w:sz w:val="20"/>
                <w:szCs w:val="20"/>
                <w:lang w:val="es-MX" w:eastAsia="es-MX"/>
              </w:rPr>
              <w:t>298</w:t>
            </w:r>
            <w:r w:rsidRPr="00581F1F">
              <w:rPr>
                <w:rFonts w:ascii="Arial" w:hAnsi="Arial" w:cs="Arial"/>
                <w:color w:val="000000"/>
                <w:sz w:val="20"/>
                <w:szCs w:val="20"/>
                <w:lang w:val="es-MX" w:eastAsia="es-MX"/>
              </w:rPr>
              <w:t>,</w:t>
            </w:r>
            <w:r w:rsidR="00C00CCD">
              <w:rPr>
                <w:rFonts w:ascii="Arial" w:hAnsi="Arial" w:cs="Arial"/>
                <w:color w:val="000000"/>
                <w:sz w:val="20"/>
                <w:szCs w:val="20"/>
                <w:lang w:val="es-MX" w:eastAsia="es-MX"/>
              </w:rPr>
              <w:t>394</w:t>
            </w:r>
          </w:p>
        </w:tc>
        <w:tc>
          <w:tcPr>
            <w:tcW w:w="160" w:type="dxa"/>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23402A" w:rsidRPr="00581F1F" w:rsidRDefault="0023402A" w:rsidP="00B4366A">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4366A">
              <w:rPr>
                <w:rFonts w:ascii="Arial" w:hAnsi="Arial" w:cs="Arial"/>
                <w:color w:val="000000"/>
                <w:sz w:val="20"/>
                <w:szCs w:val="20"/>
                <w:lang w:val="es-MX" w:eastAsia="es-MX"/>
              </w:rPr>
              <w:t>1´580,247.</w:t>
            </w:r>
          </w:p>
        </w:tc>
      </w:tr>
    </w:tbl>
    <w:p w:rsidR="0023402A" w:rsidRDefault="0023402A" w:rsidP="00ED6A55">
      <w:pPr>
        <w:pStyle w:val="Default"/>
        <w:jc w:val="both"/>
        <w:rPr>
          <w:sz w:val="20"/>
          <w:szCs w:val="20"/>
        </w:rPr>
      </w:pPr>
    </w:p>
    <w:p w:rsidR="0023402A" w:rsidRDefault="00F20491" w:rsidP="00ED6A55">
      <w:pPr>
        <w:pStyle w:val="Default"/>
        <w:jc w:val="both"/>
        <w:rPr>
          <w:sz w:val="20"/>
          <w:szCs w:val="20"/>
        </w:rPr>
      </w:pPr>
      <w:r>
        <w:rPr>
          <w:sz w:val="20"/>
          <w:szCs w:val="20"/>
        </w:rPr>
        <w:t xml:space="preserve">Intereses cobrados por adelantado.  </w:t>
      </w:r>
      <w:r>
        <w:rPr>
          <w:sz w:val="20"/>
          <w:szCs w:val="20"/>
        </w:rPr>
        <w:tab/>
      </w:r>
    </w:p>
    <w:p w:rsidR="0023402A" w:rsidRDefault="0023402A" w:rsidP="0023402A">
      <w:pPr>
        <w:pStyle w:val="Default"/>
        <w:jc w:val="both"/>
        <w:rPr>
          <w:sz w:val="20"/>
          <w:szCs w:val="20"/>
        </w:rPr>
      </w:pPr>
      <w:r>
        <w:rPr>
          <w:sz w:val="20"/>
          <w:szCs w:val="20"/>
        </w:rPr>
        <w:t xml:space="preserve">Intereses </w:t>
      </w:r>
      <w:r w:rsidR="0086486C">
        <w:rPr>
          <w:sz w:val="20"/>
          <w:szCs w:val="20"/>
        </w:rPr>
        <w:t>re documentados</w:t>
      </w:r>
      <w:r>
        <w:rPr>
          <w:sz w:val="20"/>
          <w:szCs w:val="20"/>
        </w:rPr>
        <w:t xml:space="preserve"> por cobrar</w:t>
      </w:r>
    </w:p>
    <w:p w:rsidR="0023402A" w:rsidRDefault="0023402A" w:rsidP="00ED6A55">
      <w:pPr>
        <w:pStyle w:val="Default"/>
        <w:jc w:val="both"/>
        <w:rPr>
          <w:sz w:val="20"/>
          <w:szCs w:val="20"/>
        </w:rPr>
      </w:pPr>
    </w:p>
    <w:p w:rsidR="0023402A" w:rsidRDefault="0023402A" w:rsidP="00ED6A55">
      <w:pPr>
        <w:pStyle w:val="Default"/>
        <w:jc w:val="both"/>
        <w:rPr>
          <w:sz w:val="20"/>
          <w:szCs w:val="20"/>
        </w:rPr>
      </w:pPr>
    </w:p>
    <w:p w:rsidR="00F20491" w:rsidRDefault="00F20491" w:rsidP="00ED6A55">
      <w:pPr>
        <w:pStyle w:val="Default"/>
        <w:jc w:val="both"/>
        <w:rPr>
          <w:sz w:val="20"/>
          <w:szCs w:val="20"/>
        </w:rPr>
      </w:pPr>
    </w:p>
    <w:p w:rsidR="00713060" w:rsidRPr="00581F1F" w:rsidRDefault="00713060" w:rsidP="00187428">
      <w:pPr>
        <w:pStyle w:val="Default"/>
        <w:numPr>
          <w:ilvl w:val="0"/>
          <w:numId w:val="22"/>
        </w:numPr>
        <w:jc w:val="both"/>
        <w:rPr>
          <w:b/>
          <w:sz w:val="20"/>
          <w:szCs w:val="20"/>
        </w:rPr>
      </w:pPr>
      <w:r w:rsidRPr="00581F1F">
        <w:rPr>
          <w:b/>
          <w:sz w:val="20"/>
          <w:szCs w:val="20"/>
        </w:rPr>
        <w:t>Notas al Estado de Actividades</w:t>
      </w:r>
    </w:p>
    <w:p w:rsidR="00713060" w:rsidRPr="00631B78" w:rsidRDefault="00713060" w:rsidP="00ED6A55">
      <w:pPr>
        <w:pStyle w:val="Default"/>
        <w:jc w:val="both"/>
        <w:rPr>
          <w:sz w:val="16"/>
          <w:szCs w:val="16"/>
        </w:rPr>
      </w:pPr>
    </w:p>
    <w:p w:rsidR="00713060" w:rsidRPr="00581F1F" w:rsidRDefault="00713060" w:rsidP="00713060">
      <w:pPr>
        <w:pStyle w:val="Default"/>
        <w:numPr>
          <w:ilvl w:val="0"/>
          <w:numId w:val="26"/>
        </w:numPr>
        <w:jc w:val="both"/>
        <w:rPr>
          <w:b/>
          <w:sz w:val="20"/>
          <w:szCs w:val="20"/>
          <w:u w:val="single"/>
        </w:rPr>
      </w:pPr>
      <w:r w:rsidRPr="00581F1F">
        <w:rPr>
          <w:b/>
          <w:sz w:val="20"/>
          <w:szCs w:val="20"/>
          <w:u w:val="single"/>
        </w:rPr>
        <w:t>Ingresos de Gestión</w:t>
      </w:r>
    </w:p>
    <w:p w:rsidR="00713060" w:rsidRPr="00581F1F" w:rsidRDefault="00713060" w:rsidP="00713060">
      <w:pPr>
        <w:pStyle w:val="Default"/>
        <w:jc w:val="both"/>
        <w:rPr>
          <w:sz w:val="20"/>
          <w:szCs w:val="20"/>
        </w:rPr>
      </w:pPr>
      <w:r w:rsidRPr="00581F1F">
        <w:rPr>
          <w:sz w:val="20"/>
          <w:szCs w:val="20"/>
        </w:rPr>
        <w:t xml:space="preserve">Este rubro se integra de la siguiente manera al </w:t>
      </w:r>
      <w:r w:rsidR="00835E92">
        <w:rPr>
          <w:sz w:val="20"/>
          <w:szCs w:val="20"/>
        </w:rPr>
        <w:t>3</w:t>
      </w:r>
      <w:r w:rsidR="0086486C">
        <w:rPr>
          <w:sz w:val="20"/>
          <w:szCs w:val="20"/>
        </w:rPr>
        <w:t>1</w:t>
      </w:r>
      <w:r w:rsidRPr="00581F1F">
        <w:rPr>
          <w:sz w:val="20"/>
          <w:szCs w:val="20"/>
        </w:rPr>
        <w:t xml:space="preserve"> de </w:t>
      </w:r>
      <w:r w:rsidR="0086486C">
        <w:rPr>
          <w:sz w:val="20"/>
          <w:szCs w:val="20"/>
        </w:rPr>
        <w:t>dici</w:t>
      </w:r>
      <w:r w:rsidR="00267C67">
        <w:rPr>
          <w:sz w:val="20"/>
          <w:szCs w:val="20"/>
        </w:rPr>
        <w:t>embre</w:t>
      </w:r>
      <w:r w:rsidRPr="00581F1F">
        <w:rPr>
          <w:sz w:val="20"/>
          <w:szCs w:val="20"/>
        </w:rPr>
        <w:t xml:space="preserve"> de 20</w:t>
      </w:r>
      <w:r w:rsidR="00A1489A">
        <w:rPr>
          <w:sz w:val="20"/>
          <w:szCs w:val="20"/>
        </w:rPr>
        <w:t>20</w:t>
      </w:r>
      <w:r w:rsidRPr="00581F1F">
        <w:rPr>
          <w:sz w:val="20"/>
          <w:szCs w:val="20"/>
        </w:rPr>
        <w:t xml:space="preserve"> y </w:t>
      </w:r>
      <w:r w:rsidR="00AC66EF">
        <w:rPr>
          <w:sz w:val="20"/>
          <w:szCs w:val="20"/>
        </w:rPr>
        <w:t>3</w:t>
      </w:r>
      <w:r w:rsidR="00D73043">
        <w:rPr>
          <w:sz w:val="20"/>
          <w:szCs w:val="20"/>
        </w:rPr>
        <w:t>0</w:t>
      </w:r>
      <w:r w:rsidR="00A85111">
        <w:rPr>
          <w:sz w:val="20"/>
          <w:szCs w:val="20"/>
        </w:rPr>
        <w:t xml:space="preserve"> de </w:t>
      </w:r>
      <w:r w:rsidR="00C00CCD">
        <w:rPr>
          <w:sz w:val="20"/>
          <w:szCs w:val="20"/>
        </w:rPr>
        <w:t>septiembre</w:t>
      </w:r>
      <w:r w:rsidR="00A85111">
        <w:rPr>
          <w:sz w:val="20"/>
          <w:szCs w:val="20"/>
        </w:rPr>
        <w:t xml:space="preserve"> de </w:t>
      </w:r>
      <w:r w:rsidRPr="00581F1F">
        <w:rPr>
          <w:sz w:val="20"/>
          <w:szCs w:val="20"/>
        </w:rPr>
        <w:t>20</w:t>
      </w:r>
      <w:r w:rsidR="00B4366A">
        <w:rPr>
          <w:sz w:val="20"/>
          <w:szCs w:val="20"/>
        </w:rPr>
        <w:t>21</w:t>
      </w:r>
      <w:r w:rsidRPr="00581F1F">
        <w:rPr>
          <w:sz w:val="20"/>
          <w:szCs w:val="20"/>
        </w:rPr>
        <w:t>:</w:t>
      </w:r>
    </w:p>
    <w:p w:rsidR="00713060" w:rsidRPr="00581F1F" w:rsidRDefault="00713060" w:rsidP="00713060">
      <w:pPr>
        <w:pStyle w:val="Default"/>
        <w:jc w:val="both"/>
        <w:rPr>
          <w:sz w:val="20"/>
          <w:szCs w:val="20"/>
        </w:rPr>
      </w:pPr>
    </w:p>
    <w:tbl>
      <w:tblPr>
        <w:tblW w:w="0" w:type="auto"/>
        <w:tblCellMar>
          <w:left w:w="70" w:type="dxa"/>
          <w:right w:w="70" w:type="dxa"/>
        </w:tblCellMar>
        <w:tblLook w:val="04A0" w:firstRow="1" w:lastRow="0" w:firstColumn="1" w:lastColumn="0" w:noHBand="0" w:noVBand="1"/>
      </w:tblPr>
      <w:tblGrid>
        <w:gridCol w:w="821"/>
        <w:gridCol w:w="611"/>
        <w:gridCol w:w="611"/>
        <w:gridCol w:w="611"/>
        <w:gridCol w:w="611"/>
        <w:gridCol w:w="611"/>
        <w:gridCol w:w="146"/>
        <w:gridCol w:w="146"/>
        <w:gridCol w:w="146"/>
        <w:gridCol w:w="146"/>
        <w:gridCol w:w="146"/>
        <w:gridCol w:w="146"/>
        <w:gridCol w:w="146"/>
        <w:gridCol w:w="1253"/>
        <w:gridCol w:w="146"/>
        <w:gridCol w:w="146"/>
        <w:gridCol w:w="146"/>
        <w:gridCol w:w="1253"/>
      </w:tblGrid>
      <w:tr w:rsidR="008D0B37" w:rsidRPr="00581F1F" w:rsidTr="00042844">
        <w:trPr>
          <w:trHeight w:val="300"/>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2801C6">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A1489A">
              <w:rPr>
                <w:rFonts w:ascii="Arial" w:hAnsi="Arial" w:cs="Arial"/>
                <w:b/>
                <w:bCs/>
                <w:color w:val="000000"/>
                <w:sz w:val="20"/>
                <w:szCs w:val="20"/>
                <w:u w:val="single"/>
                <w:lang w:val="es-MX" w:eastAsia="es-MX"/>
              </w:rPr>
              <w:t>2</w:t>
            </w:r>
            <w:r w:rsidR="002801C6">
              <w:rPr>
                <w:rFonts w:ascii="Arial" w:hAnsi="Arial" w:cs="Arial"/>
                <w:b/>
                <w:bCs/>
                <w:color w:val="000000"/>
                <w:sz w:val="20"/>
                <w:szCs w:val="20"/>
                <w:u w:val="single"/>
                <w:lang w:val="es-MX" w:eastAsia="es-MX"/>
              </w:rPr>
              <w:t>1</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B4366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4366A">
              <w:rPr>
                <w:rFonts w:ascii="Arial" w:hAnsi="Arial" w:cs="Arial"/>
                <w:b/>
                <w:bCs/>
                <w:color w:val="000000"/>
                <w:sz w:val="20"/>
                <w:szCs w:val="20"/>
                <w:u w:val="single"/>
                <w:lang w:val="es-MX" w:eastAsia="es-MX"/>
              </w:rPr>
              <w:t>20</w:t>
            </w:r>
          </w:p>
        </w:tc>
      </w:tr>
      <w:tr w:rsidR="008D0B37" w:rsidRPr="00581F1F" w:rsidTr="00042844">
        <w:trPr>
          <w:trHeight w:val="285"/>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r>
      <w:tr w:rsidR="008D0B37" w:rsidRPr="00581F1F" w:rsidTr="00042844">
        <w:trPr>
          <w:trHeight w:val="285"/>
        </w:trPr>
        <w:tc>
          <w:tcPr>
            <w:tcW w:w="0" w:type="auto"/>
            <w:gridSpan w:val="6"/>
            <w:tcBorders>
              <w:top w:val="nil"/>
              <w:bottom w:val="nil"/>
              <w:right w:val="nil"/>
            </w:tcBorders>
            <w:shd w:val="clear" w:color="auto" w:fill="auto"/>
            <w:noWrap/>
            <w:hideMark/>
          </w:tcPr>
          <w:p w:rsidR="008D0B37" w:rsidRPr="00581F1F" w:rsidRDefault="008D0B37" w:rsidP="00F13F04">
            <w:pP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Ingresos por ventas de bienes y </w:t>
            </w:r>
          </w:p>
          <w:p w:rsidR="008D0B37" w:rsidRPr="00581F1F" w:rsidRDefault="001D7ABE" w:rsidP="00F13F04">
            <w:pPr>
              <w:rPr>
                <w:rFonts w:ascii="Arial" w:hAnsi="Arial" w:cs="Arial"/>
                <w:color w:val="000000"/>
                <w:sz w:val="20"/>
                <w:szCs w:val="20"/>
                <w:lang w:val="es-MX" w:eastAsia="es-MX"/>
              </w:rPr>
            </w:pPr>
            <w:r>
              <w:rPr>
                <w:rFonts w:ascii="Arial" w:hAnsi="Arial" w:cs="Arial"/>
                <w:color w:val="000000"/>
                <w:sz w:val="20"/>
                <w:szCs w:val="20"/>
                <w:lang w:val="es-MX" w:eastAsia="es-MX"/>
              </w:rPr>
              <w:t>S</w:t>
            </w:r>
            <w:r w:rsidR="008D0B37" w:rsidRPr="00581F1F">
              <w:rPr>
                <w:rFonts w:ascii="Arial" w:hAnsi="Arial" w:cs="Arial"/>
                <w:color w:val="000000"/>
                <w:sz w:val="20"/>
                <w:szCs w:val="20"/>
                <w:lang w:val="es-MX" w:eastAsia="es-MX"/>
              </w:rPr>
              <w:t>ervicios de organismos descentralizados</w:t>
            </w:r>
          </w:p>
        </w:tc>
        <w:tc>
          <w:tcPr>
            <w:tcW w:w="0" w:type="auto"/>
            <w:tcBorders>
              <w:top w:val="nil"/>
              <w:bottom w:val="nil"/>
              <w:right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right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8D0B37" w:rsidRPr="00581F1F" w:rsidRDefault="00137109" w:rsidP="00137109">
            <w:pPr>
              <w:jc w:val="right"/>
              <w:rPr>
                <w:rFonts w:ascii="Arial" w:hAnsi="Arial" w:cs="Arial"/>
                <w:color w:val="000000"/>
                <w:sz w:val="20"/>
                <w:szCs w:val="20"/>
                <w:lang w:val="es-MX" w:eastAsia="es-MX"/>
              </w:rPr>
            </w:pPr>
            <w:r>
              <w:rPr>
                <w:rFonts w:ascii="Arial" w:hAnsi="Arial" w:cs="Arial"/>
                <w:color w:val="000000"/>
                <w:sz w:val="20"/>
                <w:szCs w:val="20"/>
                <w:lang w:val="es-MX" w:eastAsia="es-MX"/>
              </w:rPr>
              <w:t>4</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455</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531</w:t>
            </w:r>
          </w:p>
        </w:tc>
        <w:tc>
          <w:tcPr>
            <w:tcW w:w="0" w:type="auto"/>
            <w:tcBorders>
              <w:top w:val="nil"/>
              <w:left w:val="nil"/>
              <w:bottom w:val="nil"/>
              <w:right w:val="nil"/>
            </w:tcBorders>
            <w:shd w:val="clear" w:color="auto" w:fill="auto"/>
            <w:noWrap/>
            <w:vAlign w:val="bottom"/>
            <w:hideMark/>
          </w:tcPr>
          <w:p w:rsidR="008D0B37" w:rsidRPr="00581F1F" w:rsidRDefault="008D0B37" w:rsidP="00F13F04">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F3445" w:rsidRDefault="00B4366A" w:rsidP="00B4366A">
            <w:pPr>
              <w:jc w:val="right"/>
              <w:rPr>
                <w:rFonts w:ascii="Arial" w:hAnsi="Arial" w:cs="Arial"/>
                <w:color w:val="000000"/>
                <w:sz w:val="20"/>
                <w:szCs w:val="20"/>
                <w:lang w:val="es-MX" w:eastAsia="es-MX"/>
              </w:rPr>
            </w:pPr>
            <w:r>
              <w:rPr>
                <w:rFonts w:ascii="Arial" w:hAnsi="Arial" w:cs="Arial"/>
                <w:color w:val="000000"/>
                <w:sz w:val="20"/>
                <w:szCs w:val="20"/>
                <w:lang w:val="es-MX" w:eastAsia="es-MX"/>
              </w:rPr>
              <w:t>7</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081</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913</w:t>
            </w:r>
          </w:p>
        </w:tc>
      </w:tr>
      <w:tr w:rsidR="008D0B37" w:rsidRPr="00581F1F" w:rsidTr="00042844">
        <w:trPr>
          <w:trHeight w:val="285"/>
        </w:trPr>
        <w:tc>
          <w:tcPr>
            <w:tcW w:w="0" w:type="auto"/>
            <w:gridSpan w:val="5"/>
            <w:tcBorders>
              <w:top w:val="nil"/>
              <w:bottom w:val="nil"/>
              <w:right w:val="nil"/>
            </w:tcBorders>
            <w:shd w:val="clear" w:color="auto" w:fill="auto"/>
            <w:noWrap/>
          </w:tcPr>
          <w:p w:rsidR="008D0B37" w:rsidRPr="00581F1F" w:rsidRDefault="008D0B37" w:rsidP="00713060">
            <w:pPr>
              <w:rPr>
                <w:rFonts w:ascii="Arial" w:hAnsi="Arial" w:cs="Arial"/>
                <w:color w:val="000000"/>
                <w:sz w:val="20"/>
                <w:szCs w:val="20"/>
                <w:lang w:val="es-MX" w:eastAsia="es-MX"/>
              </w:rPr>
            </w:pPr>
            <w:r>
              <w:rPr>
                <w:rFonts w:ascii="Arial" w:hAnsi="Arial" w:cs="Arial"/>
                <w:color w:val="000000"/>
                <w:sz w:val="20"/>
                <w:szCs w:val="20"/>
                <w:lang w:val="es-MX" w:eastAsia="es-MX"/>
              </w:rPr>
              <w:t>Otros ingresos y beneficios varios</w:t>
            </w:r>
          </w:p>
        </w:tc>
        <w:tc>
          <w:tcPr>
            <w:tcW w:w="0" w:type="auto"/>
            <w:tcBorders>
              <w:top w:val="nil"/>
              <w:left w:val="nil"/>
              <w:bottom w:val="nil"/>
              <w:right w:val="nil"/>
            </w:tcBorders>
            <w:shd w:val="clear" w:color="auto" w:fill="auto"/>
            <w:noWrap/>
            <w:vAlign w:val="bottom"/>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8D0B37" w:rsidRDefault="00131A0F" w:rsidP="008D0B37">
            <w:pPr>
              <w:jc w:val="right"/>
              <w:rPr>
                <w:rFonts w:ascii="Arial" w:hAnsi="Arial" w:cs="Arial"/>
                <w:color w:val="000000"/>
                <w:sz w:val="20"/>
                <w:szCs w:val="20"/>
                <w:lang w:val="es-MX" w:eastAsia="es-MX"/>
              </w:rPr>
            </w:pPr>
            <w:r>
              <w:rPr>
                <w:rFonts w:ascii="Arial" w:hAnsi="Arial" w:cs="Arial"/>
                <w:color w:val="000000"/>
                <w:sz w:val="20"/>
                <w:szCs w:val="20"/>
                <w:lang w:val="es-MX" w:eastAsia="es-MX"/>
              </w:rPr>
              <w:t>1</w:t>
            </w:r>
            <w:r w:rsidR="002801C6">
              <w:rPr>
                <w:rFonts w:ascii="Arial" w:hAnsi="Arial" w:cs="Arial"/>
                <w:color w:val="000000"/>
                <w:sz w:val="20"/>
                <w:szCs w:val="20"/>
                <w:lang w:val="es-MX" w:eastAsia="es-MX"/>
              </w:rPr>
              <w:t>35</w:t>
            </w:r>
            <w:r w:rsidR="008D0B37">
              <w:rPr>
                <w:rFonts w:ascii="Arial" w:hAnsi="Arial" w:cs="Arial"/>
                <w:color w:val="000000"/>
                <w:sz w:val="20"/>
                <w:szCs w:val="20"/>
                <w:lang w:val="es-MX" w:eastAsia="es-MX"/>
              </w:rPr>
              <w:t>.00</w:t>
            </w:r>
          </w:p>
        </w:tc>
        <w:tc>
          <w:tcPr>
            <w:tcW w:w="0" w:type="auto"/>
            <w:tcBorders>
              <w:top w:val="nil"/>
              <w:left w:val="nil"/>
              <w:bottom w:val="nil"/>
              <w:right w:val="nil"/>
            </w:tcBorders>
            <w:shd w:val="clear" w:color="auto" w:fill="auto"/>
            <w:noWrap/>
            <w:vAlign w:val="bottom"/>
          </w:tcPr>
          <w:p w:rsidR="008D0B37" w:rsidRPr="00581F1F" w:rsidRDefault="008D0B37" w:rsidP="00F13F04">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8D0B37" w:rsidRDefault="00A1489A" w:rsidP="00A1489A">
            <w:pPr>
              <w:jc w:val="right"/>
              <w:rPr>
                <w:rFonts w:ascii="Arial" w:hAnsi="Arial" w:cs="Arial"/>
                <w:color w:val="000000"/>
                <w:sz w:val="20"/>
                <w:szCs w:val="20"/>
                <w:lang w:val="es-MX" w:eastAsia="es-MX"/>
              </w:rPr>
            </w:pPr>
            <w:r>
              <w:rPr>
                <w:rFonts w:ascii="Arial" w:hAnsi="Arial" w:cs="Arial"/>
                <w:color w:val="000000"/>
                <w:sz w:val="20"/>
                <w:szCs w:val="20"/>
                <w:lang w:val="es-MX" w:eastAsia="es-MX"/>
              </w:rPr>
              <w:t>0</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00</w:t>
            </w:r>
          </w:p>
        </w:tc>
      </w:tr>
      <w:tr w:rsidR="008D0B37" w:rsidRPr="00581F1F" w:rsidTr="00042844">
        <w:trPr>
          <w:trHeight w:val="315"/>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8D0B37" w:rsidRPr="00581F1F" w:rsidRDefault="008D0B37" w:rsidP="00137109">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137109">
              <w:rPr>
                <w:rFonts w:ascii="Arial" w:hAnsi="Arial" w:cs="Arial"/>
                <w:b/>
                <w:bCs/>
                <w:color w:val="000000"/>
                <w:sz w:val="20"/>
                <w:szCs w:val="20"/>
                <w:lang w:val="es-MX" w:eastAsia="es-MX"/>
              </w:rPr>
              <w:t>4</w:t>
            </w:r>
            <w:r>
              <w:rPr>
                <w:rFonts w:ascii="Arial" w:hAnsi="Arial" w:cs="Arial"/>
                <w:b/>
                <w:bCs/>
                <w:color w:val="000000"/>
                <w:sz w:val="20"/>
                <w:szCs w:val="20"/>
                <w:lang w:val="es-MX" w:eastAsia="es-MX"/>
              </w:rPr>
              <w:t>,</w:t>
            </w:r>
            <w:r w:rsidR="00137109">
              <w:rPr>
                <w:rFonts w:ascii="Arial" w:hAnsi="Arial" w:cs="Arial"/>
                <w:b/>
                <w:bCs/>
                <w:color w:val="000000"/>
                <w:sz w:val="20"/>
                <w:szCs w:val="20"/>
                <w:lang w:val="es-MX" w:eastAsia="es-MX"/>
              </w:rPr>
              <w:t>455</w:t>
            </w:r>
            <w:r w:rsidRPr="00581F1F">
              <w:rPr>
                <w:rFonts w:ascii="Arial" w:hAnsi="Arial" w:cs="Arial"/>
                <w:b/>
                <w:bCs/>
                <w:color w:val="000000"/>
                <w:sz w:val="20"/>
                <w:szCs w:val="20"/>
                <w:lang w:val="es-MX" w:eastAsia="es-MX"/>
              </w:rPr>
              <w:t>,</w:t>
            </w:r>
            <w:r w:rsidR="00137109">
              <w:rPr>
                <w:rFonts w:ascii="Arial" w:hAnsi="Arial" w:cs="Arial"/>
                <w:b/>
                <w:bCs/>
                <w:color w:val="000000"/>
                <w:sz w:val="20"/>
                <w:szCs w:val="20"/>
                <w:lang w:val="es-MX" w:eastAsia="es-MX"/>
              </w:rPr>
              <w:t>666</w:t>
            </w:r>
          </w:p>
        </w:tc>
        <w:tc>
          <w:tcPr>
            <w:tcW w:w="0" w:type="auto"/>
            <w:tcBorders>
              <w:top w:val="nil"/>
              <w:left w:val="nil"/>
              <w:bottom w:val="nil"/>
              <w:right w:val="nil"/>
            </w:tcBorders>
            <w:shd w:val="clear" w:color="auto" w:fill="auto"/>
            <w:noWrap/>
            <w:vAlign w:val="bottom"/>
            <w:hideMark/>
          </w:tcPr>
          <w:p w:rsidR="008D0B37" w:rsidRPr="00581F1F" w:rsidRDefault="008D0B37" w:rsidP="00F13F04">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8D0B37" w:rsidRPr="005F3445" w:rsidRDefault="008D0B37" w:rsidP="00B4366A">
            <w:pPr>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B4366A">
              <w:rPr>
                <w:rFonts w:ascii="Arial" w:hAnsi="Arial" w:cs="Arial"/>
                <w:b/>
                <w:bCs/>
                <w:color w:val="000000"/>
                <w:sz w:val="20"/>
                <w:szCs w:val="20"/>
                <w:lang w:val="es-MX" w:eastAsia="es-MX"/>
              </w:rPr>
              <w:t>7</w:t>
            </w:r>
            <w:r>
              <w:rPr>
                <w:rFonts w:ascii="Arial" w:hAnsi="Arial" w:cs="Arial"/>
                <w:b/>
                <w:bCs/>
                <w:color w:val="000000"/>
                <w:sz w:val="20"/>
                <w:szCs w:val="20"/>
                <w:lang w:val="es-MX" w:eastAsia="es-MX"/>
              </w:rPr>
              <w:t>,</w:t>
            </w:r>
            <w:r w:rsidR="00B4366A">
              <w:rPr>
                <w:rFonts w:ascii="Arial" w:hAnsi="Arial" w:cs="Arial"/>
                <w:b/>
                <w:bCs/>
                <w:color w:val="000000"/>
                <w:sz w:val="20"/>
                <w:szCs w:val="20"/>
                <w:lang w:val="es-MX" w:eastAsia="es-MX"/>
              </w:rPr>
              <w:t>081</w:t>
            </w:r>
            <w:r>
              <w:rPr>
                <w:rFonts w:ascii="Arial" w:hAnsi="Arial" w:cs="Arial"/>
                <w:b/>
                <w:bCs/>
                <w:color w:val="000000"/>
                <w:sz w:val="20"/>
                <w:szCs w:val="20"/>
                <w:lang w:val="es-MX" w:eastAsia="es-MX"/>
              </w:rPr>
              <w:t>,</w:t>
            </w:r>
            <w:r w:rsidR="00B4366A">
              <w:rPr>
                <w:rFonts w:ascii="Arial" w:hAnsi="Arial" w:cs="Arial"/>
                <w:b/>
                <w:bCs/>
                <w:color w:val="000000"/>
                <w:sz w:val="20"/>
                <w:szCs w:val="20"/>
                <w:lang w:val="es-MX" w:eastAsia="es-MX"/>
              </w:rPr>
              <w:t>913</w:t>
            </w:r>
          </w:p>
        </w:tc>
      </w:tr>
    </w:tbl>
    <w:p w:rsidR="00713060" w:rsidRDefault="00713060" w:rsidP="00713060">
      <w:pPr>
        <w:pStyle w:val="Default"/>
        <w:jc w:val="both"/>
        <w:rPr>
          <w:sz w:val="20"/>
          <w:szCs w:val="20"/>
        </w:rPr>
      </w:pPr>
    </w:p>
    <w:p w:rsidR="00713060" w:rsidRPr="00581F1F" w:rsidRDefault="00713060" w:rsidP="00EA51C2">
      <w:pPr>
        <w:pStyle w:val="Default"/>
        <w:numPr>
          <w:ilvl w:val="0"/>
          <w:numId w:val="26"/>
        </w:numPr>
        <w:jc w:val="both"/>
        <w:rPr>
          <w:b/>
          <w:sz w:val="20"/>
          <w:szCs w:val="20"/>
          <w:u w:val="single"/>
        </w:rPr>
      </w:pPr>
      <w:r w:rsidRPr="00581F1F">
        <w:rPr>
          <w:b/>
          <w:sz w:val="20"/>
          <w:szCs w:val="20"/>
          <w:u w:val="single"/>
        </w:rPr>
        <w:t>Gastos y Otras Pérdidas</w:t>
      </w:r>
    </w:p>
    <w:p w:rsidR="00EA51C2" w:rsidRPr="00581F1F" w:rsidRDefault="00EA51C2" w:rsidP="00EA51C2">
      <w:pPr>
        <w:pStyle w:val="Default"/>
        <w:jc w:val="both"/>
        <w:rPr>
          <w:sz w:val="20"/>
          <w:szCs w:val="20"/>
        </w:rPr>
      </w:pPr>
      <w:r w:rsidRPr="00581F1F">
        <w:rPr>
          <w:sz w:val="20"/>
          <w:szCs w:val="20"/>
        </w:rPr>
        <w:t xml:space="preserve">Este rubro se integra de la siguiente manera al </w:t>
      </w:r>
      <w:r w:rsidR="00835E92">
        <w:rPr>
          <w:sz w:val="20"/>
          <w:szCs w:val="20"/>
        </w:rPr>
        <w:t>3</w:t>
      </w:r>
      <w:r w:rsidR="00526843">
        <w:rPr>
          <w:sz w:val="20"/>
          <w:szCs w:val="20"/>
        </w:rPr>
        <w:t>0</w:t>
      </w:r>
      <w:r w:rsidRPr="00581F1F">
        <w:rPr>
          <w:sz w:val="20"/>
          <w:szCs w:val="20"/>
        </w:rPr>
        <w:t xml:space="preserve"> de </w:t>
      </w:r>
      <w:r w:rsidR="00137109">
        <w:rPr>
          <w:sz w:val="20"/>
          <w:szCs w:val="20"/>
        </w:rPr>
        <w:t>septiembre</w:t>
      </w:r>
      <w:r w:rsidRPr="00581F1F">
        <w:rPr>
          <w:sz w:val="20"/>
          <w:szCs w:val="20"/>
        </w:rPr>
        <w:t xml:space="preserve"> de 20</w:t>
      </w:r>
      <w:r w:rsidR="0038791D">
        <w:rPr>
          <w:sz w:val="20"/>
          <w:szCs w:val="20"/>
        </w:rPr>
        <w:t>2</w:t>
      </w:r>
      <w:r w:rsidR="00B4366A">
        <w:rPr>
          <w:sz w:val="20"/>
          <w:szCs w:val="20"/>
        </w:rPr>
        <w:t>1</w:t>
      </w:r>
      <w:r w:rsidRPr="00581F1F">
        <w:rPr>
          <w:sz w:val="20"/>
          <w:szCs w:val="20"/>
        </w:rPr>
        <w:t>:</w:t>
      </w:r>
    </w:p>
    <w:p w:rsidR="00EA51C2" w:rsidRPr="00581F1F" w:rsidRDefault="00EA51C2" w:rsidP="00EA51C2">
      <w:pPr>
        <w:pStyle w:val="Default"/>
        <w:jc w:val="both"/>
        <w:rPr>
          <w:b/>
          <w:sz w:val="20"/>
          <w:szCs w:val="20"/>
        </w:rPr>
      </w:pPr>
    </w:p>
    <w:tbl>
      <w:tblPr>
        <w:tblW w:w="0" w:type="auto"/>
        <w:tblCellMar>
          <w:left w:w="70" w:type="dxa"/>
          <w:right w:w="70" w:type="dxa"/>
        </w:tblCellMar>
        <w:tblLook w:val="04A0" w:firstRow="1" w:lastRow="0" w:firstColumn="1" w:lastColumn="0" w:noHBand="0" w:noVBand="1"/>
      </w:tblPr>
      <w:tblGrid>
        <w:gridCol w:w="1405"/>
        <w:gridCol w:w="1046"/>
        <w:gridCol w:w="889"/>
        <w:gridCol w:w="190"/>
        <w:gridCol w:w="190"/>
        <w:gridCol w:w="190"/>
        <w:gridCol w:w="146"/>
        <w:gridCol w:w="146"/>
        <w:gridCol w:w="146"/>
        <w:gridCol w:w="146"/>
        <w:gridCol w:w="146"/>
        <w:gridCol w:w="146"/>
        <w:gridCol w:w="146"/>
        <w:gridCol w:w="1264"/>
        <w:gridCol w:w="146"/>
      </w:tblGrid>
      <w:tr w:rsidR="008D0B37" w:rsidRPr="00581F1F" w:rsidTr="00042844">
        <w:trPr>
          <w:trHeight w:val="300"/>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B4366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38791D">
              <w:rPr>
                <w:rFonts w:ascii="Arial" w:hAnsi="Arial" w:cs="Arial"/>
                <w:b/>
                <w:bCs/>
                <w:color w:val="000000"/>
                <w:sz w:val="20"/>
                <w:szCs w:val="20"/>
                <w:u w:val="single"/>
                <w:lang w:val="es-MX" w:eastAsia="es-MX"/>
              </w:rPr>
              <w:t>2</w:t>
            </w:r>
            <w:r w:rsidR="00B4366A">
              <w:rPr>
                <w:rFonts w:ascii="Arial" w:hAnsi="Arial" w:cs="Arial"/>
                <w:b/>
                <w:bCs/>
                <w:color w:val="000000"/>
                <w:sz w:val="20"/>
                <w:szCs w:val="20"/>
                <w:u w:val="single"/>
                <w:lang w:val="es-MX" w:eastAsia="es-MX"/>
              </w:rPr>
              <w:t>1</w:t>
            </w:r>
          </w:p>
        </w:tc>
        <w:tc>
          <w:tcPr>
            <w:tcW w:w="0" w:type="auto"/>
            <w:tcBorders>
              <w:top w:val="nil"/>
              <w:left w:val="nil"/>
              <w:bottom w:val="nil"/>
              <w:right w:val="nil"/>
            </w:tcBorders>
            <w:shd w:val="clear" w:color="auto" w:fill="auto"/>
            <w:noWrap/>
            <w:vAlign w:val="bottom"/>
            <w:hideMark/>
          </w:tcPr>
          <w:p w:rsidR="008D0B37" w:rsidRPr="00581F1F" w:rsidRDefault="008D0B37" w:rsidP="00713060">
            <w:pPr>
              <w:jc w:val="center"/>
              <w:rPr>
                <w:rFonts w:ascii="Arial" w:hAnsi="Arial" w:cs="Arial"/>
                <w:b/>
                <w:bCs/>
                <w:color w:val="000000"/>
                <w:sz w:val="20"/>
                <w:szCs w:val="20"/>
                <w:u w:val="single"/>
                <w:lang w:val="es-MX" w:eastAsia="es-MX"/>
              </w:rPr>
            </w:pPr>
          </w:p>
        </w:tc>
      </w:tr>
      <w:tr w:rsidR="008D0B37" w:rsidRPr="00581F1F" w:rsidTr="00042844">
        <w:trPr>
          <w:trHeight w:val="285"/>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r>
      <w:tr w:rsidR="008D0B37" w:rsidRPr="00581F1F" w:rsidTr="00042844">
        <w:trPr>
          <w:trHeight w:val="285"/>
        </w:trPr>
        <w:tc>
          <w:tcPr>
            <w:tcW w:w="0" w:type="auto"/>
            <w:gridSpan w:val="3"/>
            <w:tcBorders>
              <w:top w:val="nil"/>
              <w:bottom w:val="nil"/>
              <w:right w:val="nil"/>
            </w:tcBorders>
            <w:shd w:val="clear" w:color="auto" w:fill="auto"/>
            <w:noWrap/>
            <w:vAlign w:val="bottom"/>
            <w:hideMark/>
          </w:tcPr>
          <w:p w:rsidR="008D0B37" w:rsidRPr="00581F1F" w:rsidRDefault="008D0B37" w:rsidP="00415314">
            <w:pPr>
              <w:rPr>
                <w:rFonts w:ascii="Arial" w:hAnsi="Arial" w:cs="Arial"/>
                <w:color w:val="000000"/>
                <w:sz w:val="20"/>
                <w:szCs w:val="20"/>
                <w:lang w:val="es-MX" w:eastAsia="es-MX"/>
              </w:rPr>
            </w:pPr>
            <w:r w:rsidRPr="00581F1F">
              <w:rPr>
                <w:rFonts w:ascii="Arial" w:hAnsi="Arial" w:cs="Arial"/>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8D0B37" w:rsidRPr="00581F1F" w:rsidRDefault="008D0B37" w:rsidP="00415314">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415314">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415314">
            <w:pPr>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137109" w:rsidP="00137109">
            <w:pPr>
              <w:jc w:val="right"/>
              <w:rPr>
                <w:rFonts w:ascii="Arial" w:hAnsi="Arial" w:cs="Arial"/>
                <w:color w:val="000000"/>
                <w:sz w:val="20"/>
                <w:szCs w:val="20"/>
                <w:lang w:val="es-MX" w:eastAsia="es-MX"/>
              </w:rPr>
            </w:pPr>
            <w:r>
              <w:rPr>
                <w:rFonts w:ascii="Arial" w:hAnsi="Arial" w:cs="Arial"/>
                <w:color w:val="000000"/>
                <w:sz w:val="20"/>
                <w:szCs w:val="20"/>
                <w:lang w:val="es-MX" w:eastAsia="es-MX"/>
              </w:rPr>
              <w:t>90</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796</w:t>
            </w:r>
          </w:p>
        </w:tc>
        <w:tc>
          <w:tcPr>
            <w:tcW w:w="0" w:type="auto"/>
            <w:tcBorders>
              <w:top w:val="nil"/>
              <w:left w:val="nil"/>
              <w:bottom w:val="nil"/>
              <w:right w:val="nil"/>
            </w:tcBorders>
            <w:shd w:val="clear" w:color="auto" w:fill="auto"/>
            <w:noWrap/>
            <w:vAlign w:val="bottom"/>
            <w:hideMark/>
          </w:tcPr>
          <w:p w:rsidR="008D0B37" w:rsidRPr="00581F1F" w:rsidRDefault="008D0B37" w:rsidP="00B91C9C">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p>
        </w:tc>
      </w:tr>
      <w:tr w:rsidR="008D0B37" w:rsidRPr="00581F1F" w:rsidTr="00042844">
        <w:trPr>
          <w:trHeight w:val="285"/>
        </w:trPr>
        <w:tc>
          <w:tcPr>
            <w:tcW w:w="0" w:type="auto"/>
            <w:gridSpan w:val="2"/>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137109" w:rsidP="00137109">
            <w:pPr>
              <w:jc w:val="right"/>
              <w:rPr>
                <w:rFonts w:ascii="Arial" w:hAnsi="Arial" w:cs="Arial"/>
                <w:color w:val="000000"/>
                <w:sz w:val="20"/>
                <w:szCs w:val="20"/>
                <w:lang w:val="es-MX" w:eastAsia="es-MX"/>
              </w:rPr>
            </w:pPr>
            <w:r>
              <w:rPr>
                <w:rFonts w:ascii="Arial" w:hAnsi="Arial" w:cs="Arial"/>
                <w:color w:val="000000"/>
                <w:sz w:val="20"/>
                <w:szCs w:val="20"/>
                <w:lang w:val="es-MX" w:eastAsia="es-MX"/>
              </w:rPr>
              <w:t>3</w:t>
            </w:r>
            <w:r w:rsidR="005A7EBD">
              <w:rPr>
                <w:rFonts w:ascii="Arial" w:hAnsi="Arial" w:cs="Arial"/>
                <w:color w:val="000000"/>
                <w:sz w:val="20"/>
                <w:szCs w:val="20"/>
                <w:lang w:val="es-MX" w:eastAsia="es-MX"/>
              </w:rPr>
              <w:t>´</w:t>
            </w:r>
            <w:r>
              <w:rPr>
                <w:rFonts w:ascii="Arial" w:hAnsi="Arial" w:cs="Arial"/>
                <w:color w:val="000000"/>
                <w:sz w:val="20"/>
                <w:szCs w:val="20"/>
                <w:lang w:val="es-MX" w:eastAsia="es-MX"/>
              </w:rPr>
              <w:t>467</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445</w:t>
            </w:r>
          </w:p>
        </w:tc>
        <w:tc>
          <w:tcPr>
            <w:tcW w:w="0" w:type="auto"/>
            <w:tcBorders>
              <w:top w:val="nil"/>
              <w:left w:val="nil"/>
              <w:bottom w:val="nil"/>
              <w:right w:val="nil"/>
            </w:tcBorders>
            <w:shd w:val="clear" w:color="auto" w:fill="auto"/>
            <w:noWrap/>
            <w:vAlign w:val="bottom"/>
            <w:hideMark/>
          </w:tcPr>
          <w:p w:rsidR="008D0B37" w:rsidRPr="00581F1F" w:rsidRDefault="008D0B37" w:rsidP="00B91C9C">
            <w:pPr>
              <w:jc w:val="center"/>
              <w:rPr>
                <w:rFonts w:ascii="Arial" w:hAnsi="Arial" w:cs="Arial"/>
                <w:color w:val="000000"/>
                <w:sz w:val="20"/>
                <w:szCs w:val="20"/>
                <w:lang w:val="es-MX" w:eastAsia="es-MX"/>
              </w:rPr>
            </w:pPr>
          </w:p>
        </w:tc>
      </w:tr>
      <w:tr w:rsidR="008D0B37" w:rsidRPr="00581F1F" w:rsidTr="00042844">
        <w:trPr>
          <w:trHeight w:val="285"/>
        </w:trPr>
        <w:tc>
          <w:tcPr>
            <w:tcW w:w="0" w:type="auto"/>
            <w:gridSpan w:val="6"/>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Estimaciones, Depreciaciones, Deterioros, </w:t>
            </w:r>
          </w:p>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Obsolescencia y Amortizaciones</w:t>
            </w: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8D0B37" w:rsidRPr="00581F1F" w:rsidRDefault="001F1E53" w:rsidP="00137109">
            <w:pPr>
              <w:jc w:val="right"/>
              <w:rPr>
                <w:rFonts w:ascii="Arial" w:hAnsi="Arial" w:cs="Arial"/>
                <w:color w:val="000000"/>
                <w:sz w:val="20"/>
                <w:szCs w:val="20"/>
                <w:lang w:val="es-MX" w:eastAsia="es-MX"/>
              </w:rPr>
            </w:pPr>
            <w:r>
              <w:rPr>
                <w:rFonts w:ascii="Arial" w:hAnsi="Arial" w:cs="Arial"/>
                <w:color w:val="000000"/>
                <w:sz w:val="20"/>
                <w:szCs w:val="20"/>
                <w:lang w:val="es-MX" w:eastAsia="es-MX"/>
              </w:rPr>
              <w:t>1</w:t>
            </w:r>
            <w:r w:rsidR="00137109">
              <w:rPr>
                <w:rFonts w:ascii="Arial" w:hAnsi="Arial" w:cs="Arial"/>
                <w:color w:val="000000"/>
                <w:sz w:val="20"/>
                <w:szCs w:val="20"/>
                <w:lang w:val="es-MX" w:eastAsia="es-MX"/>
              </w:rPr>
              <w:t>95</w:t>
            </w:r>
            <w:r w:rsidR="008D0B37">
              <w:rPr>
                <w:rFonts w:ascii="Arial" w:hAnsi="Arial" w:cs="Arial"/>
                <w:color w:val="000000"/>
                <w:sz w:val="20"/>
                <w:szCs w:val="20"/>
                <w:lang w:val="es-MX" w:eastAsia="es-MX"/>
              </w:rPr>
              <w:t>,</w:t>
            </w:r>
            <w:r w:rsidR="00137109">
              <w:rPr>
                <w:rFonts w:ascii="Arial" w:hAnsi="Arial" w:cs="Arial"/>
                <w:color w:val="000000"/>
                <w:sz w:val="20"/>
                <w:szCs w:val="20"/>
                <w:lang w:val="es-MX" w:eastAsia="es-MX"/>
              </w:rPr>
              <w:t>886</w:t>
            </w:r>
          </w:p>
        </w:tc>
        <w:tc>
          <w:tcPr>
            <w:tcW w:w="0" w:type="auto"/>
            <w:tcBorders>
              <w:top w:val="nil"/>
              <w:left w:val="nil"/>
              <w:bottom w:val="nil"/>
              <w:right w:val="nil"/>
            </w:tcBorders>
            <w:shd w:val="clear" w:color="auto" w:fill="auto"/>
            <w:noWrap/>
            <w:vAlign w:val="bottom"/>
            <w:hideMark/>
          </w:tcPr>
          <w:p w:rsidR="008D0B37" w:rsidRPr="00581F1F" w:rsidRDefault="00804393" w:rsidP="00B91C9C">
            <w:pPr>
              <w:jc w:val="center"/>
              <w:rPr>
                <w:rFonts w:ascii="Arial" w:hAnsi="Arial" w:cs="Arial"/>
                <w:color w:val="000000"/>
                <w:sz w:val="20"/>
                <w:szCs w:val="20"/>
                <w:lang w:val="es-MX" w:eastAsia="es-MX"/>
              </w:rPr>
            </w:pPr>
            <w:r>
              <w:rPr>
                <w:rFonts w:ascii="Arial" w:hAnsi="Arial" w:cs="Arial"/>
                <w:color w:val="000000"/>
                <w:sz w:val="20"/>
                <w:szCs w:val="20"/>
                <w:lang w:val="es-MX" w:eastAsia="es-MX"/>
              </w:rPr>
              <w:t xml:space="preserve">   </w:t>
            </w:r>
          </w:p>
        </w:tc>
      </w:tr>
      <w:tr w:rsidR="008D0B37" w:rsidRPr="00581F1F" w:rsidTr="00042844">
        <w:trPr>
          <w:trHeight w:val="315"/>
        </w:trPr>
        <w:tc>
          <w:tcPr>
            <w:tcW w:w="0" w:type="auto"/>
            <w:gridSpan w:val="3"/>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Total gastos y otras pérdidas</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8D0B37" w:rsidRPr="00581F1F" w:rsidRDefault="008D0B37" w:rsidP="00137109">
            <w:pPr>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137109">
              <w:rPr>
                <w:rFonts w:ascii="Arial" w:hAnsi="Arial" w:cs="Arial"/>
                <w:b/>
                <w:bCs/>
                <w:color w:val="000000"/>
                <w:sz w:val="20"/>
                <w:szCs w:val="20"/>
                <w:lang w:val="es-MX" w:eastAsia="es-MX"/>
              </w:rPr>
              <w:t>3</w:t>
            </w:r>
            <w:r w:rsidR="005A7EBD">
              <w:rPr>
                <w:rFonts w:ascii="Arial" w:hAnsi="Arial" w:cs="Arial"/>
                <w:b/>
                <w:bCs/>
                <w:color w:val="000000"/>
                <w:sz w:val="20"/>
                <w:szCs w:val="20"/>
                <w:lang w:val="es-MX" w:eastAsia="es-MX"/>
              </w:rPr>
              <w:t>´</w:t>
            </w:r>
            <w:r w:rsidR="00137109">
              <w:rPr>
                <w:rFonts w:ascii="Arial" w:hAnsi="Arial" w:cs="Arial"/>
                <w:b/>
                <w:bCs/>
                <w:color w:val="000000"/>
                <w:sz w:val="20"/>
                <w:szCs w:val="20"/>
                <w:lang w:val="es-MX" w:eastAsia="es-MX"/>
              </w:rPr>
              <w:t>754</w:t>
            </w:r>
            <w:r w:rsidRPr="00581F1F">
              <w:rPr>
                <w:rFonts w:ascii="Arial" w:hAnsi="Arial" w:cs="Arial"/>
                <w:b/>
                <w:bCs/>
                <w:color w:val="000000"/>
                <w:sz w:val="20"/>
                <w:szCs w:val="20"/>
                <w:lang w:val="es-MX" w:eastAsia="es-MX"/>
              </w:rPr>
              <w:t>,</w:t>
            </w:r>
            <w:r w:rsidR="00137109">
              <w:rPr>
                <w:rFonts w:ascii="Arial" w:hAnsi="Arial" w:cs="Arial"/>
                <w:b/>
                <w:bCs/>
                <w:color w:val="000000"/>
                <w:sz w:val="20"/>
                <w:szCs w:val="20"/>
                <w:lang w:val="es-MX" w:eastAsia="es-MX"/>
              </w:rPr>
              <w:t>127</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r>
    </w:tbl>
    <w:p w:rsidR="00713060" w:rsidRPr="00581F1F" w:rsidRDefault="00713060" w:rsidP="00713060">
      <w:pPr>
        <w:pStyle w:val="Default"/>
        <w:jc w:val="both"/>
        <w:rPr>
          <w:sz w:val="20"/>
          <w:szCs w:val="20"/>
        </w:rPr>
      </w:pPr>
    </w:p>
    <w:p w:rsidR="003C5119" w:rsidRPr="00581F1F" w:rsidRDefault="00713060" w:rsidP="00713060">
      <w:pPr>
        <w:pStyle w:val="Default"/>
        <w:jc w:val="both"/>
        <w:rPr>
          <w:b/>
          <w:sz w:val="20"/>
          <w:szCs w:val="20"/>
        </w:rPr>
      </w:pPr>
      <w:r w:rsidRPr="00C00BDD">
        <w:rPr>
          <w:sz w:val="20"/>
          <w:szCs w:val="20"/>
        </w:rPr>
        <w:t xml:space="preserve">Los servicios </w:t>
      </w:r>
      <w:r w:rsidR="00FE3C02">
        <w:rPr>
          <w:sz w:val="20"/>
          <w:szCs w:val="20"/>
        </w:rPr>
        <w:t>generales representan</w:t>
      </w:r>
      <w:r w:rsidRPr="00C00BDD">
        <w:rPr>
          <w:sz w:val="20"/>
          <w:szCs w:val="20"/>
        </w:rPr>
        <w:t xml:space="preserve"> </w:t>
      </w:r>
      <w:r w:rsidR="00FE3C02">
        <w:rPr>
          <w:sz w:val="20"/>
          <w:szCs w:val="20"/>
        </w:rPr>
        <w:t>e</w:t>
      </w:r>
      <w:r w:rsidRPr="00C00BDD">
        <w:rPr>
          <w:sz w:val="20"/>
          <w:szCs w:val="20"/>
        </w:rPr>
        <w:t xml:space="preserve">l </w:t>
      </w:r>
      <w:r w:rsidR="001F1E53">
        <w:rPr>
          <w:sz w:val="20"/>
          <w:szCs w:val="20"/>
        </w:rPr>
        <w:t>7</w:t>
      </w:r>
      <w:r w:rsidR="00137109">
        <w:rPr>
          <w:sz w:val="20"/>
          <w:szCs w:val="20"/>
        </w:rPr>
        <w:t>7</w:t>
      </w:r>
      <w:r w:rsidR="00804393">
        <w:rPr>
          <w:sz w:val="20"/>
          <w:szCs w:val="20"/>
        </w:rPr>
        <w:t>.</w:t>
      </w:r>
      <w:r w:rsidR="00137109">
        <w:rPr>
          <w:sz w:val="20"/>
          <w:szCs w:val="20"/>
        </w:rPr>
        <w:t>82</w:t>
      </w:r>
      <w:r w:rsidRPr="00C00BDD">
        <w:rPr>
          <w:sz w:val="20"/>
          <w:szCs w:val="20"/>
        </w:rPr>
        <w:t>% del total de gastos de la Entidad</w:t>
      </w:r>
      <w:r w:rsidR="00137109">
        <w:rPr>
          <w:sz w:val="20"/>
          <w:szCs w:val="20"/>
        </w:rPr>
        <w:t>.</w:t>
      </w:r>
      <w:r w:rsidRPr="00C00BDD">
        <w:rPr>
          <w:sz w:val="20"/>
          <w:szCs w:val="20"/>
        </w:rPr>
        <w:t xml:space="preserve"> </w:t>
      </w:r>
    </w:p>
    <w:p w:rsidR="003C5119" w:rsidRPr="007A45A6" w:rsidRDefault="003C5119" w:rsidP="003C5119">
      <w:pPr>
        <w:pStyle w:val="Default"/>
        <w:numPr>
          <w:ilvl w:val="0"/>
          <w:numId w:val="22"/>
        </w:numPr>
        <w:jc w:val="both"/>
        <w:rPr>
          <w:b/>
          <w:sz w:val="20"/>
          <w:szCs w:val="20"/>
        </w:rPr>
      </w:pPr>
      <w:r w:rsidRPr="007A45A6">
        <w:rPr>
          <w:b/>
          <w:sz w:val="20"/>
          <w:szCs w:val="20"/>
        </w:rPr>
        <w:t>Notas al Estado de Flujos de Efectivo</w:t>
      </w:r>
      <w:r w:rsidR="005E03D5">
        <w:rPr>
          <w:b/>
          <w:sz w:val="20"/>
          <w:szCs w:val="20"/>
        </w:rPr>
        <w:t xml:space="preserve">  </w:t>
      </w:r>
    </w:p>
    <w:p w:rsidR="003C5119" w:rsidRDefault="003C5119" w:rsidP="003C5119">
      <w:pPr>
        <w:pStyle w:val="Default"/>
        <w:jc w:val="both"/>
        <w:rPr>
          <w:sz w:val="20"/>
          <w:szCs w:val="20"/>
        </w:rPr>
      </w:pPr>
    </w:p>
    <w:p w:rsidR="0035708D" w:rsidRDefault="0035708D" w:rsidP="003C5119">
      <w:pPr>
        <w:pStyle w:val="Default"/>
        <w:jc w:val="both"/>
        <w:rPr>
          <w:sz w:val="20"/>
          <w:szCs w:val="20"/>
        </w:rPr>
      </w:pPr>
      <w:r>
        <w:rPr>
          <w:sz w:val="20"/>
          <w:szCs w:val="20"/>
        </w:rPr>
        <w:t>El análisis de los saldos  final</w:t>
      </w:r>
      <w:r w:rsidR="00FA03FD">
        <w:rPr>
          <w:sz w:val="20"/>
          <w:szCs w:val="20"/>
        </w:rPr>
        <w:t>es</w:t>
      </w:r>
      <w:r>
        <w:rPr>
          <w:sz w:val="20"/>
          <w:szCs w:val="20"/>
        </w:rPr>
        <w:t xml:space="preserve"> que figuran en la última parte del Estado de Flujo de Efectivo en la cuenta de efectivo y equivalentes es como sigue:</w:t>
      </w:r>
    </w:p>
    <w:p w:rsidR="0035708D" w:rsidRDefault="0035708D" w:rsidP="003C5119">
      <w:pPr>
        <w:pStyle w:val="Default"/>
        <w:jc w:val="both"/>
        <w:rPr>
          <w:sz w:val="20"/>
          <w:szCs w:val="20"/>
        </w:rPr>
      </w:pPr>
    </w:p>
    <w:tbl>
      <w:tblPr>
        <w:tblStyle w:val="Tablaconcuadrcula"/>
        <w:tblW w:w="0" w:type="auto"/>
        <w:tblLook w:val="04A0" w:firstRow="1" w:lastRow="0" w:firstColumn="1" w:lastColumn="0" w:noHBand="0" w:noVBand="1"/>
      </w:tblPr>
      <w:tblGrid>
        <w:gridCol w:w="3114"/>
        <w:gridCol w:w="2410"/>
      </w:tblGrid>
      <w:tr w:rsidR="005E03D5" w:rsidTr="006870C9">
        <w:tc>
          <w:tcPr>
            <w:tcW w:w="3114" w:type="dxa"/>
          </w:tcPr>
          <w:p w:rsidR="005E03D5" w:rsidRDefault="005E03D5" w:rsidP="006870C9">
            <w:pPr>
              <w:jc w:val="center"/>
            </w:pPr>
            <w:r>
              <w:t>Concepto</w:t>
            </w:r>
          </w:p>
        </w:tc>
        <w:tc>
          <w:tcPr>
            <w:tcW w:w="2410" w:type="dxa"/>
          </w:tcPr>
          <w:p w:rsidR="005E03D5" w:rsidRDefault="005E03D5" w:rsidP="006870C9"/>
        </w:tc>
      </w:tr>
      <w:tr w:rsidR="005E03D5" w:rsidTr="006870C9">
        <w:tc>
          <w:tcPr>
            <w:tcW w:w="3114" w:type="dxa"/>
          </w:tcPr>
          <w:p w:rsidR="005E03D5" w:rsidRPr="00916407" w:rsidRDefault="005E03D5" w:rsidP="006870C9">
            <w:pPr>
              <w:rPr>
                <w:sz w:val="18"/>
                <w:szCs w:val="18"/>
              </w:rPr>
            </w:pPr>
            <w:r w:rsidRPr="00916407">
              <w:rPr>
                <w:sz w:val="18"/>
                <w:szCs w:val="18"/>
              </w:rPr>
              <w:t>Efectivo en Bancos-Tesorería</w:t>
            </w:r>
          </w:p>
        </w:tc>
        <w:tc>
          <w:tcPr>
            <w:tcW w:w="2410" w:type="dxa"/>
          </w:tcPr>
          <w:p w:rsidR="005E03D5" w:rsidRPr="00916407" w:rsidRDefault="001F1E53" w:rsidP="00066873">
            <w:pPr>
              <w:rPr>
                <w:sz w:val="18"/>
                <w:szCs w:val="18"/>
              </w:rPr>
            </w:pPr>
            <w:r>
              <w:rPr>
                <w:sz w:val="18"/>
                <w:szCs w:val="18"/>
              </w:rPr>
              <w:t>$</w:t>
            </w:r>
            <w:r w:rsidR="00066873">
              <w:rPr>
                <w:sz w:val="18"/>
                <w:szCs w:val="18"/>
              </w:rPr>
              <w:t>3</w:t>
            </w:r>
            <w:r>
              <w:rPr>
                <w:sz w:val="18"/>
                <w:szCs w:val="18"/>
              </w:rPr>
              <w:t>15,</w:t>
            </w:r>
            <w:r w:rsidR="00066873">
              <w:rPr>
                <w:sz w:val="18"/>
                <w:szCs w:val="18"/>
              </w:rPr>
              <w:t>935</w:t>
            </w:r>
          </w:p>
        </w:tc>
      </w:tr>
      <w:tr w:rsidR="005E03D5" w:rsidTr="006870C9">
        <w:tc>
          <w:tcPr>
            <w:tcW w:w="3114" w:type="dxa"/>
          </w:tcPr>
          <w:p w:rsidR="005E03D5" w:rsidRPr="00916407" w:rsidRDefault="005E03D5" w:rsidP="006870C9">
            <w:pPr>
              <w:rPr>
                <w:sz w:val="18"/>
                <w:szCs w:val="18"/>
              </w:rPr>
            </w:pPr>
            <w:r>
              <w:rPr>
                <w:sz w:val="18"/>
                <w:szCs w:val="18"/>
              </w:rPr>
              <w:t>Inversiones temporales (hasta 3 meses)</w:t>
            </w:r>
          </w:p>
        </w:tc>
        <w:tc>
          <w:tcPr>
            <w:tcW w:w="2410" w:type="dxa"/>
          </w:tcPr>
          <w:p w:rsidR="005E03D5" w:rsidRPr="001F1E53" w:rsidRDefault="001F1E53" w:rsidP="00066873">
            <w:pPr>
              <w:rPr>
                <w:sz w:val="18"/>
                <w:szCs w:val="18"/>
              </w:rPr>
            </w:pPr>
            <w:r w:rsidRPr="001F1E53">
              <w:rPr>
                <w:sz w:val="18"/>
                <w:szCs w:val="18"/>
              </w:rPr>
              <w:t>$</w:t>
            </w:r>
            <w:r w:rsidR="00066873">
              <w:rPr>
                <w:sz w:val="18"/>
                <w:szCs w:val="18"/>
              </w:rPr>
              <w:t>71</w:t>
            </w:r>
            <w:r>
              <w:rPr>
                <w:color w:val="000000"/>
                <w:sz w:val="18"/>
                <w:szCs w:val="18"/>
                <w:lang w:eastAsia="es-MX"/>
              </w:rPr>
              <w:t>´</w:t>
            </w:r>
            <w:r w:rsidR="00066873">
              <w:rPr>
                <w:color w:val="000000"/>
                <w:sz w:val="18"/>
                <w:szCs w:val="18"/>
                <w:lang w:eastAsia="es-MX"/>
              </w:rPr>
              <w:t>811</w:t>
            </w:r>
            <w:r w:rsidRPr="001F1E53">
              <w:rPr>
                <w:color w:val="000000"/>
                <w:sz w:val="18"/>
                <w:szCs w:val="18"/>
                <w:lang w:eastAsia="es-MX"/>
              </w:rPr>
              <w:t>,</w:t>
            </w:r>
            <w:r w:rsidR="00066873">
              <w:rPr>
                <w:color w:val="000000"/>
                <w:sz w:val="18"/>
                <w:szCs w:val="18"/>
                <w:lang w:eastAsia="es-MX"/>
              </w:rPr>
              <w:t>202</w:t>
            </w:r>
          </w:p>
        </w:tc>
      </w:tr>
      <w:tr w:rsidR="005E03D5" w:rsidTr="006870C9">
        <w:tc>
          <w:tcPr>
            <w:tcW w:w="3114" w:type="dxa"/>
          </w:tcPr>
          <w:p w:rsidR="005E03D5" w:rsidRPr="00916407" w:rsidRDefault="005E03D5" w:rsidP="006870C9">
            <w:pPr>
              <w:rPr>
                <w:sz w:val="18"/>
                <w:szCs w:val="18"/>
              </w:rPr>
            </w:pPr>
            <w:r>
              <w:rPr>
                <w:sz w:val="18"/>
                <w:szCs w:val="18"/>
              </w:rPr>
              <w:t>Depósitos de fondos de terceros y otros</w:t>
            </w:r>
          </w:p>
        </w:tc>
        <w:tc>
          <w:tcPr>
            <w:tcW w:w="2410" w:type="dxa"/>
          </w:tcPr>
          <w:p w:rsidR="005E03D5" w:rsidRPr="00916407" w:rsidRDefault="00FA03FD" w:rsidP="006870C9">
            <w:pPr>
              <w:rPr>
                <w:sz w:val="18"/>
                <w:szCs w:val="18"/>
              </w:rPr>
            </w:pPr>
            <w:r>
              <w:rPr>
                <w:sz w:val="18"/>
                <w:szCs w:val="18"/>
              </w:rPr>
              <w:t>$0.00</w:t>
            </w:r>
          </w:p>
        </w:tc>
      </w:tr>
      <w:tr w:rsidR="005E03D5" w:rsidTr="006870C9">
        <w:tc>
          <w:tcPr>
            <w:tcW w:w="3114" w:type="dxa"/>
          </w:tcPr>
          <w:p w:rsidR="005E03D5" w:rsidRPr="00916407" w:rsidRDefault="005E03D5" w:rsidP="0035708D">
            <w:pPr>
              <w:rPr>
                <w:sz w:val="18"/>
                <w:szCs w:val="18"/>
              </w:rPr>
            </w:pPr>
            <w:r>
              <w:rPr>
                <w:sz w:val="18"/>
                <w:szCs w:val="18"/>
              </w:rPr>
              <w:t>Total de Efectivo y Equivalentes</w:t>
            </w:r>
          </w:p>
        </w:tc>
        <w:tc>
          <w:tcPr>
            <w:tcW w:w="2410" w:type="dxa"/>
          </w:tcPr>
          <w:p w:rsidR="005E03D5" w:rsidRPr="00916407" w:rsidRDefault="00FA03FD" w:rsidP="00066873">
            <w:pPr>
              <w:rPr>
                <w:sz w:val="18"/>
                <w:szCs w:val="18"/>
              </w:rPr>
            </w:pPr>
            <w:r>
              <w:rPr>
                <w:sz w:val="18"/>
                <w:szCs w:val="18"/>
              </w:rPr>
              <w:t>$</w:t>
            </w:r>
            <w:r w:rsidR="00066873">
              <w:rPr>
                <w:sz w:val="18"/>
                <w:szCs w:val="18"/>
              </w:rPr>
              <w:t>72</w:t>
            </w:r>
            <w:r>
              <w:rPr>
                <w:sz w:val="18"/>
                <w:szCs w:val="18"/>
              </w:rPr>
              <w:t>´</w:t>
            </w:r>
            <w:r w:rsidR="00066873">
              <w:rPr>
                <w:sz w:val="18"/>
                <w:szCs w:val="18"/>
              </w:rPr>
              <w:t>127</w:t>
            </w:r>
            <w:r>
              <w:rPr>
                <w:sz w:val="18"/>
                <w:szCs w:val="18"/>
              </w:rPr>
              <w:t>,</w:t>
            </w:r>
            <w:r w:rsidR="00066873">
              <w:rPr>
                <w:sz w:val="18"/>
                <w:szCs w:val="18"/>
              </w:rPr>
              <w:t>137</w:t>
            </w:r>
          </w:p>
        </w:tc>
      </w:tr>
    </w:tbl>
    <w:p w:rsidR="005E03D5" w:rsidRDefault="005E03D5" w:rsidP="003C5119">
      <w:pPr>
        <w:pStyle w:val="Default"/>
        <w:jc w:val="both"/>
        <w:rPr>
          <w:sz w:val="20"/>
          <w:szCs w:val="20"/>
        </w:rPr>
      </w:pPr>
    </w:p>
    <w:p w:rsidR="005C09F7" w:rsidRDefault="005C09F7" w:rsidP="00713060">
      <w:pPr>
        <w:pStyle w:val="Default"/>
        <w:jc w:val="both"/>
        <w:rPr>
          <w:sz w:val="20"/>
          <w:szCs w:val="20"/>
          <w:lang w:val="es-ES"/>
        </w:rPr>
      </w:pPr>
    </w:p>
    <w:p w:rsidR="0035708D" w:rsidRDefault="0035708D" w:rsidP="00713060">
      <w:pPr>
        <w:pStyle w:val="Default"/>
        <w:jc w:val="both"/>
        <w:rPr>
          <w:sz w:val="20"/>
          <w:szCs w:val="20"/>
          <w:lang w:val="es-ES"/>
        </w:rPr>
      </w:pPr>
      <w:r>
        <w:rPr>
          <w:sz w:val="20"/>
          <w:szCs w:val="20"/>
          <w:lang w:val="es-ES"/>
        </w:rPr>
        <w:t>Conciliación de los Flujos de Efectivo Netos de las Actividades de Operación y la cuenta de Ahorro/Desahorro antes de Rubros Extraordinarios. A continuación se presenta un ejemplo de la elaboración de la conciliación:</w:t>
      </w:r>
    </w:p>
    <w:p w:rsidR="0035708D" w:rsidRDefault="0035708D" w:rsidP="00713060">
      <w:pPr>
        <w:pStyle w:val="Default"/>
        <w:jc w:val="both"/>
        <w:rPr>
          <w:sz w:val="20"/>
          <w:szCs w:val="20"/>
          <w:lang w:val="es-ES"/>
        </w:rPr>
      </w:pPr>
    </w:p>
    <w:tbl>
      <w:tblPr>
        <w:tblStyle w:val="Tablaconcuadrcula"/>
        <w:tblW w:w="0" w:type="auto"/>
        <w:tblLook w:val="04A0" w:firstRow="1" w:lastRow="0" w:firstColumn="1" w:lastColumn="0" w:noHBand="0" w:noVBand="1"/>
      </w:tblPr>
      <w:tblGrid>
        <w:gridCol w:w="3114"/>
        <w:gridCol w:w="2410"/>
      </w:tblGrid>
      <w:tr w:rsidR="0035708D" w:rsidTr="006870C9">
        <w:tc>
          <w:tcPr>
            <w:tcW w:w="3114" w:type="dxa"/>
          </w:tcPr>
          <w:p w:rsidR="0035708D" w:rsidRDefault="0035708D" w:rsidP="006870C9">
            <w:pPr>
              <w:jc w:val="center"/>
            </w:pPr>
            <w:r>
              <w:t>Concepto</w:t>
            </w:r>
          </w:p>
        </w:tc>
        <w:tc>
          <w:tcPr>
            <w:tcW w:w="2410" w:type="dxa"/>
          </w:tcPr>
          <w:p w:rsidR="0035708D" w:rsidRDefault="0035708D" w:rsidP="006870C9"/>
        </w:tc>
      </w:tr>
      <w:tr w:rsidR="0035708D" w:rsidTr="006870C9">
        <w:tc>
          <w:tcPr>
            <w:tcW w:w="3114" w:type="dxa"/>
          </w:tcPr>
          <w:p w:rsidR="0035708D" w:rsidRPr="00916407" w:rsidRDefault="0035708D" w:rsidP="006870C9">
            <w:pPr>
              <w:rPr>
                <w:sz w:val="18"/>
                <w:szCs w:val="18"/>
              </w:rPr>
            </w:pPr>
            <w:r>
              <w:rPr>
                <w:sz w:val="18"/>
                <w:szCs w:val="18"/>
              </w:rPr>
              <w:t>Ahorro/Desahorro antes de rubros extraordinarios</w:t>
            </w:r>
          </w:p>
        </w:tc>
        <w:tc>
          <w:tcPr>
            <w:tcW w:w="2410" w:type="dxa"/>
          </w:tcPr>
          <w:p w:rsidR="0035708D" w:rsidRPr="00916407" w:rsidRDefault="00066873" w:rsidP="00066873">
            <w:pPr>
              <w:rPr>
                <w:sz w:val="18"/>
                <w:szCs w:val="18"/>
              </w:rPr>
            </w:pPr>
            <w:r>
              <w:rPr>
                <w:sz w:val="18"/>
                <w:szCs w:val="18"/>
              </w:rPr>
              <w:t>701</w:t>
            </w:r>
            <w:r w:rsidR="00E31904">
              <w:rPr>
                <w:sz w:val="18"/>
                <w:szCs w:val="18"/>
              </w:rPr>
              <w:t>,</w:t>
            </w:r>
            <w:r>
              <w:rPr>
                <w:sz w:val="18"/>
                <w:szCs w:val="18"/>
              </w:rPr>
              <w:t>539</w:t>
            </w:r>
            <w:r w:rsidR="00E31904">
              <w:rPr>
                <w:sz w:val="18"/>
                <w:szCs w:val="18"/>
              </w:rPr>
              <w:t>.</w:t>
            </w:r>
            <w:r>
              <w:rPr>
                <w:sz w:val="18"/>
                <w:szCs w:val="18"/>
              </w:rPr>
              <w:t>75</w:t>
            </w:r>
          </w:p>
        </w:tc>
      </w:tr>
      <w:tr w:rsidR="0035708D" w:rsidTr="006870C9">
        <w:tc>
          <w:tcPr>
            <w:tcW w:w="3114" w:type="dxa"/>
          </w:tcPr>
          <w:p w:rsidR="0035708D" w:rsidRPr="00916407" w:rsidRDefault="0035708D" w:rsidP="006870C9">
            <w:pPr>
              <w:rPr>
                <w:sz w:val="18"/>
                <w:szCs w:val="18"/>
              </w:rPr>
            </w:pPr>
            <w:r>
              <w:rPr>
                <w:sz w:val="18"/>
                <w:szCs w:val="18"/>
              </w:rPr>
              <w:t>Movimientos de partidas (o rubros) que no afectan al efectivo</w:t>
            </w:r>
          </w:p>
        </w:tc>
        <w:tc>
          <w:tcPr>
            <w:tcW w:w="2410" w:type="dxa"/>
          </w:tcPr>
          <w:p w:rsidR="0035708D" w:rsidRPr="00916407" w:rsidRDefault="00066873" w:rsidP="00066873">
            <w:pPr>
              <w:rPr>
                <w:sz w:val="18"/>
                <w:szCs w:val="18"/>
              </w:rPr>
            </w:pPr>
            <w:r>
              <w:rPr>
                <w:sz w:val="18"/>
                <w:szCs w:val="18"/>
              </w:rPr>
              <w:t>3</w:t>
            </w:r>
            <w:r w:rsidR="00FA03FD">
              <w:rPr>
                <w:sz w:val="18"/>
                <w:szCs w:val="18"/>
              </w:rPr>
              <w:t>´</w:t>
            </w:r>
            <w:r>
              <w:rPr>
                <w:sz w:val="18"/>
                <w:szCs w:val="18"/>
              </w:rPr>
              <w:t>558</w:t>
            </w:r>
            <w:r w:rsidR="00FA03FD">
              <w:rPr>
                <w:sz w:val="18"/>
                <w:szCs w:val="18"/>
              </w:rPr>
              <w:t>,</w:t>
            </w:r>
            <w:r>
              <w:rPr>
                <w:sz w:val="18"/>
                <w:szCs w:val="18"/>
              </w:rPr>
              <w:t>240</w:t>
            </w:r>
            <w:r w:rsidR="00FA03FD">
              <w:rPr>
                <w:sz w:val="18"/>
                <w:szCs w:val="18"/>
              </w:rPr>
              <w:t>.</w:t>
            </w:r>
            <w:r>
              <w:rPr>
                <w:sz w:val="18"/>
                <w:szCs w:val="18"/>
              </w:rPr>
              <w:t>51</w:t>
            </w:r>
          </w:p>
        </w:tc>
      </w:tr>
      <w:tr w:rsidR="0035708D" w:rsidTr="006870C9">
        <w:tc>
          <w:tcPr>
            <w:tcW w:w="3114" w:type="dxa"/>
          </w:tcPr>
          <w:p w:rsidR="0035708D" w:rsidRPr="00916407" w:rsidRDefault="0035708D" w:rsidP="006870C9">
            <w:pPr>
              <w:rPr>
                <w:sz w:val="18"/>
                <w:szCs w:val="18"/>
              </w:rPr>
            </w:pPr>
            <w:r>
              <w:rPr>
                <w:sz w:val="18"/>
                <w:szCs w:val="18"/>
              </w:rPr>
              <w:t>Activos</w:t>
            </w:r>
          </w:p>
        </w:tc>
        <w:tc>
          <w:tcPr>
            <w:tcW w:w="2410" w:type="dxa"/>
          </w:tcPr>
          <w:p w:rsidR="0035708D" w:rsidRPr="00916407" w:rsidRDefault="00FA03FD" w:rsidP="006870C9">
            <w:pPr>
              <w:rPr>
                <w:sz w:val="18"/>
                <w:szCs w:val="18"/>
              </w:rPr>
            </w:pPr>
            <w:r>
              <w:rPr>
                <w:sz w:val="18"/>
                <w:szCs w:val="18"/>
              </w:rPr>
              <w:t>0.00</w:t>
            </w:r>
          </w:p>
        </w:tc>
      </w:tr>
      <w:tr w:rsidR="0035708D" w:rsidTr="006870C9">
        <w:tc>
          <w:tcPr>
            <w:tcW w:w="3114" w:type="dxa"/>
          </w:tcPr>
          <w:p w:rsidR="0035708D" w:rsidRPr="00916407" w:rsidRDefault="0035708D" w:rsidP="006870C9">
            <w:pPr>
              <w:rPr>
                <w:sz w:val="18"/>
                <w:szCs w:val="18"/>
              </w:rPr>
            </w:pPr>
            <w:r>
              <w:rPr>
                <w:sz w:val="18"/>
                <w:szCs w:val="18"/>
              </w:rPr>
              <w:t>Flujo de efectivo al inicio del periodo</w:t>
            </w:r>
          </w:p>
        </w:tc>
        <w:tc>
          <w:tcPr>
            <w:tcW w:w="2410" w:type="dxa"/>
          </w:tcPr>
          <w:p w:rsidR="0035708D" w:rsidRPr="00916407" w:rsidRDefault="00FA03FD" w:rsidP="006870C9">
            <w:pPr>
              <w:rPr>
                <w:sz w:val="18"/>
                <w:szCs w:val="18"/>
              </w:rPr>
            </w:pPr>
            <w:r>
              <w:rPr>
                <w:sz w:val="18"/>
                <w:szCs w:val="18"/>
              </w:rPr>
              <w:t>69´356,142.60</w:t>
            </w:r>
          </w:p>
        </w:tc>
      </w:tr>
      <w:tr w:rsidR="0035708D" w:rsidRPr="00916407" w:rsidTr="006870C9">
        <w:tc>
          <w:tcPr>
            <w:tcW w:w="3114" w:type="dxa"/>
          </w:tcPr>
          <w:p w:rsidR="0035708D" w:rsidRPr="00916407" w:rsidRDefault="0035708D" w:rsidP="006870C9">
            <w:pPr>
              <w:rPr>
                <w:sz w:val="18"/>
                <w:szCs w:val="18"/>
              </w:rPr>
            </w:pPr>
            <w:r>
              <w:rPr>
                <w:sz w:val="18"/>
                <w:szCs w:val="18"/>
              </w:rPr>
              <w:t>Flujo de efectivo por actividades de operación</w:t>
            </w:r>
          </w:p>
        </w:tc>
        <w:tc>
          <w:tcPr>
            <w:tcW w:w="2410" w:type="dxa"/>
          </w:tcPr>
          <w:p w:rsidR="0035708D" w:rsidRPr="00916407" w:rsidRDefault="00066873" w:rsidP="00066873">
            <w:pPr>
              <w:rPr>
                <w:sz w:val="18"/>
                <w:szCs w:val="18"/>
              </w:rPr>
            </w:pPr>
            <w:r>
              <w:rPr>
                <w:sz w:val="18"/>
                <w:szCs w:val="18"/>
              </w:rPr>
              <w:t>2</w:t>
            </w:r>
            <w:r w:rsidR="00FA03FD">
              <w:rPr>
                <w:sz w:val="18"/>
                <w:szCs w:val="18"/>
              </w:rPr>
              <w:t>´</w:t>
            </w:r>
            <w:r>
              <w:rPr>
                <w:sz w:val="18"/>
                <w:szCs w:val="18"/>
              </w:rPr>
              <w:t>770</w:t>
            </w:r>
            <w:r w:rsidR="00FA03FD">
              <w:rPr>
                <w:sz w:val="18"/>
                <w:szCs w:val="18"/>
              </w:rPr>
              <w:t>,9</w:t>
            </w:r>
            <w:r>
              <w:rPr>
                <w:sz w:val="18"/>
                <w:szCs w:val="18"/>
              </w:rPr>
              <w:t>94</w:t>
            </w:r>
            <w:r w:rsidR="00FA03FD">
              <w:rPr>
                <w:sz w:val="18"/>
                <w:szCs w:val="18"/>
              </w:rPr>
              <w:t>.</w:t>
            </w:r>
            <w:r>
              <w:rPr>
                <w:sz w:val="18"/>
                <w:szCs w:val="18"/>
              </w:rPr>
              <w:t>82</w:t>
            </w:r>
          </w:p>
        </w:tc>
      </w:tr>
      <w:tr w:rsidR="0035708D" w:rsidRPr="00916407" w:rsidTr="006870C9">
        <w:tc>
          <w:tcPr>
            <w:tcW w:w="3114" w:type="dxa"/>
          </w:tcPr>
          <w:p w:rsidR="0035708D" w:rsidRPr="00916407" w:rsidRDefault="0035708D" w:rsidP="006870C9">
            <w:pPr>
              <w:rPr>
                <w:sz w:val="18"/>
                <w:szCs w:val="18"/>
              </w:rPr>
            </w:pPr>
            <w:r>
              <w:rPr>
                <w:sz w:val="18"/>
                <w:szCs w:val="18"/>
              </w:rPr>
              <w:t>Total efectivo y equivalente</w:t>
            </w:r>
          </w:p>
        </w:tc>
        <w:tc>
          <w:tcPr>
            <w:tcW w:w="2410" w:type="dxa"/>
          </w:tcPr>
          <w:p w:rsidR="0035708D" w:rsidRPr="00916407" w:rsidRDefault="00066873" w:rsidP="00066873">
            <w:pPr>
              <w:rPr>
                <w:sz w:val="18"/>
                <w:szCs w:val="18"/>
              </w:rPr>
            </w:pPr>
            <w:r>
              <w:rPr>
                <w:sz w:val="18"/>
                <w:szCs w:val="18"/>
              </w:rPr>
              <w:t>72</w:t>
            </w:r>
            <w:r w:rsidR="00E31904">
              <w:rPr>
                <w:sz w:val="18"/>
                <w:szCs w:val="18"/>
              </w:rPr>
              <w:t>´</w:t>
            </w:r>
            <w:r>
              <w:rPr>
                <w:sz w:val="18"/>
                <w:szCs w:val="18"/>
              </w:rPr>
              <w:t>127</w:t>
            </w:r>
            <w:r w:rsidR="00E31904">
              <w:rPr>
                <w:sz w:val="18"/>
                <w:szCs w:val="18"/>
              </w:rPr>
              <w:t>,</w:t>
            </w:r>
            <w:r>
              <w:rPr>
                <w:sz w:val="18"/>
                <w:szCs w:val="18"/>
              </w:rPr>
              <w:t>137</w:t>
            </w:r>
            <w:r w:rsidR="00E31904">
              <w:rPr>
                <w:sz w:val="18"/>
                <w:szCs w:val="18"/>
              </w:rPr>
              <w:t>.</w:t>
            </w:r>
            <w:r>
              <w:rPr>
                <w:sz w:val="18"/>
                <w:szCs w:val="18"/>
              </w:rPr>
              <w:t>42</w:t>
            </w:r>
          </w:p>
        </w:tc>
      </w:tr>
    </w:tbl>
    <w:p w:rsidR="0035708D" w:rsidRDefault="0035708D" w:rsidP="00713060">
      <w:pPr>
        <w:pStyle w:val="Default"/>
        <w:jc w:val="both"/>
        <w:rPr>
          <w:sz w:val="20"/>
          <w:szCs w:val="20"/>
          <w:lang w:val="es-ES"/>
        </w:rPr>
      </w:pPr>
    </w:p>
    <w:p w:rsidR="0035708D" w:rsidRDefault="0088685D" w:rsidP="00713060">
      <w:pPr>
        <w:pStyle w:val="Default"/>
        <w:jc w:val="both"/>
        <w:rPr>
          <w:sz w:val="20"/>
          <w:szCs w:val="20"/>
          <w:lang w:val="es-ES"/>
        </w:rPr>
      </w:pPr>
      <w:r>
        <w:rPr>
          <w:sz w:val="20"/>
          <w:szCs w:val="20"/>
          <w:lang w:val="es-ES"/>
        </w:rPr>
        <w:t>Las cuentas que aparecen en el rubro anterior n</w:t>
      </w:r>
      <w:r w:rsidR="00D671AB">
        <w:rPr>
          <w:sz w:val="20"/>
          <w:szCs w:val="20"/>
          <w:lang w:val="es-ES"/>
        </w:rPr>
        <w:t>o</w:t>
      </w:r>
      <w:r>
        <w:rPr>
          <w:sz w:val="20"/>
          <w:szCs w:val="20"/>
          <w:lang w:val="es-ES"/>
        </w:rPr>
        <w:t xml:space="preserve"> son exhaustivas y tienen como finalidad ejemplificar el formato que se sugiere para elaborar la nota.</w:t>
      </w:r>
    </w:p>
    <w:p w:rsidR="0035708D" w:rsidRDefault="0035708D" w:rsidP="00713060">
      <w:pPr>
        <w:pStyle w:val="Default"/>
        <w:jc w:val="both"/>
        <w:rPr>
          <w:sz w:val="20"/>
          <w:szCs w:val="20"/>
          <w:lang w:val="es-ES"/>
        </w:rPr>
      </w:pPr>
    </w:p>
    <w:p w:rsidR="001F213F" w:rsidRDefault="00066873" w:rsidP="00713060">
      <w:pPr>
        <w:pStyle w:val="Default"/>
        <w:jc w:val="both"/>
      </w:pPr>
      <w:r w:rsidRPr="00066873">
        <w:rPr>
          <w:noProof/>
          <w:lang w:eastAsia="es-MX"/>
        </w:rPr>
        <w:lastRenderedPageBreak/>
        <w:drawing>
          <wp:inline distT="0" distB="0" distL="0" distR="0">
            <wp:extent cx="6645910" cy="8261803"/>
            <wp:effectExtent l="0" t="0" r="254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8261803"/>
                    </a:xfrm>
                    <a:prstGeom prst="rect">
                      <a:avLst/>
                    </a:prstGeom>
                    <a:noFill/>
                    <a:ln>
                      <a:noFill/>
                    </a:ln>
                  </pic:spPr>
                </pic:pic>
              </a:graphicData>
            </a:graphic>
          </wp:inline>
        </w:drawing>
      </w:r>
    </w:p>
    <w:p w:rsidR="001F213F" w:rsidRDefault="001F213F" w:rsidP="00713060">
      <w:pPr>
        <w:pStyle w:val="Default"/>
        <w:jc w:val="both"/>
      </w:pPr>
    </w:p>
    <w:p w:rsidR="00D671AB" w:rsidRDefault="00D671AB" w:rsidP="00713060">
      <w:pPr>
        <w:pStyle w:val="Default"/>
        <w:jc w:val="both"/>
        <w:rPr>
          <w:rFonts w:asciiTheme="minorHAnsi" w:hAnsiTheme="minorHAnsi" w:cstheme="minorBidi"/>
          <w:color w:val="auto"/>
          <w:sz w:val="22"/>
          <w:szCs w:val="22"/>
          <w:lang w:val="es-ES"/>
        </w:rPr>
      </w:pPr>
      <w:r>
        <w:fldChar w:fldCharType="begin"/>
      </w:r>
      <w:r>
        <w:instrText xml:space="preserve"> LINK </w:instrText>
      </w:r>
      <w:r w:rsidR="006D2D0F">
        <w:instrText xml:space="preserve">Excel.Sheet.12 "C:\\Users\\SERVITEC &amp; PC\\Desktop\\AGROSON\\Informes Trimestrales\\Ejercicio 2021\\Tercero 2021\\Estado de flujos de efectivo para las notas.xlsx" ETCA-I-06!F5C1:F64C4 </w:instrText>
      </w:r>
      <w:r>
        <w:instrText xml:space="preserve">\a \f 4 \h  \* MERGEFORMAT </w:instrText>
      </w:r>
      <w:r>
        <w:fldChar w:fldCharType="separate"/>
      </w:r>
    </w:p>
    <w:p w:rsidR="00E45138" w:rsidRDefault="00D671AB" w:rsidP="00713060">
      <w:pPr>
        <w:pStyle w:val="Default"/>
        <w:jc w:val="both"/>
        <w:rPr>
          <w:sz w:val="20"/>
          <w:szCs w:val="20"/>
          <w:lang w:val="es-ES"/>
        </w:rPr>
      </w:pPr>
      <w:r>
        <w:rPr>
          <w:sz w:val="20"/>
          <w:szCs w:val="20"/>
          <w:lang w:val="es-ES"/>
        </w:rPr>
        <w:lastRenderedPageBreak/>
        <w:fldChar w:fldCharType="end"/>
      </w:r>
    </w:p>
    <w:p w:rsidR="00E45138" w:rsidRDefault="00E45138" w:rsidP="00713060">
      <w:pPr>
        <w:pStyle w:val="Default"/>
        <w:jc w:val="both"/>
        <w:rPr>
          <w:sz w:val="20"/>
          <w:szCs w:val="20"/>
          <w:lang w:val="es-ES"/>
        </w:rPr>
      </w:pPr>
    </w:p>
    <w:p w:rsidR="00E45138" w:rsidRDefault="00E45138" w:rsidP="00713060">
      <w:pPr>
        <w:pStyle w:val="Default"/>
        <w:jc w:val="both"/>
        <w:rPr>
          <w:sz w:val="20"/>
          <w:szCs w:val="20"/>
          <w:lang w:val="es-ES"/>
        </w:rPr>
      </w:pPr>
    </w:p>
    <w:p w:rsidR="00A139F0" w:rsidRDefault="00A139F0" w:rsidP="00713060">
      <w:pPr>
        <w:pStyle w:val="Default"/>
        <w:jc w:val="both"/>
        <w:rPr>
          <w:b/>
          <w:sz w:val="20"/>
          <w:szCs w:val="20"/>
          <w:lang w:val="es-ES"/>
        </w:rPr>
      </w:pPr>
    </w:p>
    <w:p w:rsidR="00A139F0" w:rsidRDefault="00A139F0" w:rsidP="00713060">
      <w:pPr>
        <w:pStyle w:val="Default"/>
        <w:jc w:val="both"/>
        <w:rPr>
          <w:b/>
          <w:sz w:val="20"/>
          <w:szCs w:val="20"/>
          <w:lang w:val="es-ES"/>
        </w:rPr>
      </w:pPr>
    </w:p>
    <w:p w:rsidR="00E45138" w:rsidRDefault="004F6C9D" w:rsidP="00713060">
      <w:pPr>
        <w:pStyle w:val="Default"/>
        <w:jc w:val="both"/>
        <w:rPr>
          <w:sz w:val="20"/>
          <w:szCs w:val="20"/>
          <w:lang w:val="es-ES"/>
        </w:rPr>
      </w:pPr>
      <w:r>
        <w:rPr>
          <w:b/>
          <w:sz w:val="20"/>
          <w:szCs w:val="20"/>
          <w:lang w:val="es-ES"/>
        </w:rPr>
        <w:t xml:space="preserve">D) </w:t>
      </w:r>
      <w:r w:rsidR="00937E40" w:rsidRPr="004F6C9D">
        <w:rPr>
          <w:b/>
          <w:sz w:val="20"/>
          <w:szCs w:val="20"/>
          <w:lang w:val="es-ES"/>
        </w:rPr>
        <w:t>Notas al Estado de Variación en la Hacienda Pública</w:t>
      </w:r>
      <w:r w:rsidR="00937E40" w:rsidRPr="004F6C9D">
        <w:rPr>
          <w:sz w:val="20"/>
          <w:szCs w:val="20"/>
          <w:lang w:val="es-ES"/>
        </w:rPr>
        <w:t>.</w:t>
      </w:r>
    </w:p>
    <w:p w:rsidR="00E45138" w:rsidRDefault="00E45138" w:rsidP="00713060">
      <w:pPr>
        <w:pStyle w:val="Default"/>
        <w:jc w:val="both"/>
        <w:rPr>
          <w:sz w:val="20"/>
          <w:szCs w:val="20"/>
          <w:lang w:val="es-ES"/>
        </w:rPr>
      </w:pPr>
    </w:p>
    <w:p w:rsidR="009848B4" w:rsidRDefault="00731578" w:rsidP="00713060">
      <w:pPr>
        <w:pStyle w:val="Default"/>
        <w:jc w:val="both"/>
        <w:rPr>
          <w:sz w:val="20"/>
          <w:szCs w:val="20"/>
          <w:lang w:val="es-ES"/>
        </w:rPr>
      </w:pPr>
      <w:r>
        <w:rPr>
          <w:sz w:val="20"/>
          <w:szCs w:val="20"/>
          <w:lang w:val="es-ES"/>
        </w:rPr>
        <w:t>No se presenta exceso o insuficiencia en la actualización de la Hacienda Pública</w:t>
      </w:r>
    </w:p>
    <w:p w:rsidR="009848B4" w:rsidRDefault="00731578" w:rsidP="00713060">
      <w:pPr>
        <w:pStyle w:val="Default"/>
        <w:jc w:val="both"/>
        <w:rPr>
          <w:sz w:val="20"/>
          <w:szCs w:val="20"/>
          <w:lang w:val="es-ES"/>
        </w:rPr>
      </w:pPr>
      <w:r w:rsidRPr="00731578">
        <w:rPr>
          <w:noProof/>
          <w:lang w:eastAsia="es-MX"/>
        </w:rPr>
        <w:drawing>
          <wp:inline distT="0" distB="0" distL="0" distR="0">
            <wp:extent cx="6645910" cy="6378909"/>
            <wp:effectExtent l="0" t="0" r="254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6378909"/>
                    </a:xfrm>
                    <a:prstGeom prst="rect">
                      <a:avLst/>
                    </a:prstGeom>
                    <a:noFill/>
                    <a:ln>
                      <a:noFill/>
                    </a:ln>
                  </pic:spPr>
                </pic:pic>
              </a:graphicData>
            </a:graphic>
          </wp:inline>
        </w:drawing>
      </w:r>
    </w:p>
    <w:p w:rsidR="009848B4" w:rsidRDefault="009848B4" w:rsidP="00713060">
      <w:pPr>
        <w:pStyle w:val="Default"/>
        <w:jc w:val="both"/>
        <w:rPr>
          <w:sz w:val="20"/>
          <w:szCs w:val="20"/>
          <w:lang w:val="es-ES"/>
        </w:rPr>
      </w:pPr>
    </w:p>
    <w:p w:rsidR="009848B4" w:rsidRDefault="009848B4" w:rsidP="00713060">
      <w:pPr>
        <w:pStyle w:val="Default"/>
        <w:jc w:val="both"/>
        <w:rPr>
          <w:sz w:val="20"/>
          <w:szCs w:val="20"/>
          <w:lang w:val="es-ES"/>
        </w:rPr>
      </w:pPr>
    </w:p>
    <w:p w:rsidR="00E45138" w:rsidRDefault="00A901D0" w:rsidP="00713060">
      <w:pPr>
        <w:pStyle w:val="Default"/>
        <w:jc w:val="both"/>
        <w:rPr>
          <w:sz w:val="20"/>
          <w:szCs w:val="20"/>
          <w:lang w:val="es-ES"/>
        </w:rPr>
      </w:pPr>
      <w:r>
        <w:rPr>
          <w:sz w:val="20"/>
          <w:szCs w:val="20"/>
          <w:lang w:val="es-ES"/>
        </w:rPr>
        <w:t xml:space="preserve"> </w:t>
      </w:r>
    </w:p>
    <w:p w:rsidR="00E45138" w:rsidRDefault="00E45138" w:rsidP="00713060">
      <w:pPr>
        <w:pStyle w:val="Default"/>
        <w:jc w:val="both"/>
        <w:rPr>
          <w:sz w:val="20"/>
          <w:szCs w:val="20"/>
          <w:lang w:val="es-ES"/>
        </w:rPr>
      </w:pPr>
    </w:p>
    <w:p w:rsidR="00E45138" w:rsidRDefault="00E45138" w:rsidP="00713060">
      <w:pPr>
        <w:pStyle w:val="Default"/>
        <w:jc w:val="both"/>
        <w:rPr>
          <w:sz w:val="20"/>
          <w:szCs w:val="20"/>
          <w:lang w:val="es-ES"/>
        </w:rPr>
      </w:pPr>
    </w:p>
    <w:p w:rsidR="00E45138" w:rsidRDefault="00646FD4" w:rsidP="00713060">
      <w:pPr>
        <w:pStyle w:val="Default"/>
        <w:jc w:val="both"/>
        <w:rPr>
          <w:b/>
          <w:sz w:val="20"/>
          <w:szCs w:val="20"/>
          <w:lang w:val="es-ES"/>
        </w:rPr>
      </w:pPr>
      <w:r>
        <w:rPr>
          <w:b/>
          <w:sz w:val="20"/>
          <w:szCs w:val="20"/>
          <w:lang w:val="es-ES"/>
        </w:rPr>
        <w:t>E) Conciliación entre los ingresos presupuestarios y contables, así como entre los egresos presupuestarios y los gastos contables.</w:t>
      </w:r>
    </w:p>
    <w:p w:rsidR="00646FD4" w:rsidRDefault="00646FD4" w:rsidP="00713060">
      <w:pPr>
        <w:pStyle w:val="Default"/>
        <w:jc w:val="both"/>
        <w:rPr>
          <w:sz w:val="20"/>
          <w:szCs w:val="20"/>
          <w:lang w:val="es-ES"/>
        </w:rPr>
      </w:pPr>
    </w:p>
    <w:p w:rsidR="00646FD4" w:rsidRDefault="00646FD4" w:rsidP="00713060">
      <w:pPr>
        <w:pStyle w:val="Default"/>
        <w:jc w:val="both"/>
        <w:rPr>
          <w:sz w:val="20"/>
          <w:szCs w:val="20"/>
          <w:lang w:val="es-ES"/>
        </w:rPr>
      </w:pPr>
      <w:r>
        <w:rPr>
          <w:sz w:val="20"/>
          <w:szCs w:val="20"/>
          <w:lang w:val="es-ES"/>
        </w:rPr>
        <w:t>La conciliación se presenta atendiendo lo dispuesto por el Acuerdo por el que se emite el formato de conciliación entre los ingresos presupuestarios y contables, así como entre los egresos presupuestarios y los gastos contables.</w:t>
      </w:r>
    </w:p>
    <w:p w:rsidR="00646FD4" w:rsidRDefault="00646FD4" w:rsidP="00713060">
      <w:pPr>
        <w:pStyle w:val="Default"/>
        <w:jc w:val="both"/>
        <w:rPr>
          <w:sz w:val="20"/>
          <w:szCs w:val="20"/>
          <w:lang w:val="es-ES"/>
        </w:rPr>
      </w:pPr>
    </w:p>
    <w:p w:rsidR="00646FD4" w:rsidRDefault="004F7D49" w:rsidP="00713060">
      <w:pPr>
        <w:pStyle w:val="Default"/>
        <w:jc w:val="both"/>
        <w:rPr>
          <w:sz w:val="20"/>
          <w:szCs w:val="20"/>
          <w:lang w:val="es-ES"/>
        </w:rPr>
      </w:pPr>
      <w:r w:rsidRPr="004F7D49">
        <w:rPr>
          <w:noProof/>
          <w:lang w:eastAsia="es-MX"/>
        </w:rPr>
        <w:drawing>
          <wp:inline distT="0" distB="0" distL="0" distR="0">
            <wp:extent cx="6629400" cy="46037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4603750"/>
                    </a:xfrm>
                    <a:prstGeom prst="rect">
                      <a:avLst/>
                    </a:prstGeom>
                    <a:noFill/>
                    <a:ln>
                      <a:noFill/>
                    </a:ln>
                  </pic:spPr>
                </pic:pic>
              </a:graphicData>
            </a:graphic>
          </wp:inline>
        </w:drawing>
      </w:r>
    </w:p>
    <w:p w:rsidR="00646FD4" w:rsidRDefault="00646FD4" w:rsidP="00713060">
      <w:pPr>
        <w:pStyle w:val="Default"/>
        <w:jc w:val="both"/>
        <w:rPr>
          <w:sz w:val="20"/>
          <w:szCs w:val="20"/>
          <w:lang w:val="es-ES"/>
        </w:rPr>
      </w:pPr>
    </w:p>
    <w:p w:rsidR="00646FD4" w:rsidRPr="00646FD4" w:rsidRDefault="00646FD4" w:rsidP="00713060">
      <w:pPr>
        <w:pStyle w:val="Default"/>
        <w:jc w:val="both"/>
        <w:rPr>
          <w:sz w:val="20"/>
          <w:szCs w:val="20"/>
          <w:lang w:val="es-ES"/>
        </w:rPr>
      </w:pPr>
    </w:p>
    <w:p w:rsidR="00E45138" w:rsidRDefault="00E45138" w:rsidP="00713060">
      <w:pPr>
        <w:pStyle w:val="Default"/>
        <w:jc w:val="both"/>
        <w:rPr>
          <w:sz w:val="20"/>
          <w:szCs w:val="20"/>
          <w:lang w:val="es-ES"/>
        </w:rPr>
      </w:pPr>
    </w:p>
    <w:p w:rsidR="00E45138" w:rsidRDefault="004F7D49" w:rsidP="00713060">
      <w:pPr>
        <w:pStyle w:val="Default"/>
        <w:jc w:val="both"/>
        <w:rPr>
          <w:sz w:val="20"/>
          <w:szCs w:val="20"/>
          <w:lang w:val="es-ES"/>
        </w:rPr>
      </w:pPr>
      <w:r w:rsidRPr="004F7D49">
        <w:rPr>
          <w:noProof/>
          <w:lang w:eastAsia="es-MX"/>
        </w:rPr>
        <w:lastRenderedPageBreak/>
        <w:drawing>
          <wp:inline distT="0" distB="0" distL="0" distR="0">
            <wp:extent cx="6645910" cy="7510462"/>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7510462"/>
                    </a:xfrm>
                    <a:prstGeom prst="rect">
                      <a:avLst/>
                    </a:prstGeom>
                    <a:noFill/>
                    <a:ln>
                      <a:noFill/>
                    </a:ln>
                  </pic:spPr>
                </pic:pic>
              </a:graphicData>
            </a:graphic>
          </wp:inline>
        </w:drawing>
      </w:r>
    </w:p>
    <w:p w:rsidR="00223000" w:rsidRDefault="00223000" w:rsidP="00713060">
      <w:pPr>
        <w:pStyle w:val="Default"/>
        <w:jc w:val="both"/>
        <w:rPr>
          <w:sz w:val="20"/>
          <w:szCs w:val="20"/>
          <w:lang w:val="es-ES"/>
        </w:rPr>
      </w:pPr>
    </w:p>
    <w:p w:rsidR="00223000" w:rsidRDefault="00223000" w:rsidP="00713060">
      <w:pPr>
        <w:pStyle w:val="Default"/>
        <w:jc w:val="both"/>
        <w:rPr>
          <w:sz w:val="20"/>
          <w:szCs w:val="20"/>
          <w:lang w:val="es-ES"/>
        </w:rPr>
      </w:pPr>
    </w:p>
    <w:p w:rsidR="00223000" w:rsidRDefault="00223000" w:rsidP="00713060">
      <w:pPr>
        <w:pStyle w:val="Default"/>
        <w:jc w:val="both"/>
        <w:rPr>
          <w:sz w:val="20"/>
          <w:szCs w:val="20"/>
          <w:lang w:val="es-ES"/>
        </w:rPr>
      </w:pPr>
    </w:p>
    <w:p w:rsidR="00223000" w:rsidRDefault="00223000" w:rsidP="00713060">
      <w:pPr>
        <w:pStyle w:val="Default"/>
        <w:jc w:val="both"/>
        <w:rPr>
          <w:sz w:val="20"/>
          <w:szCs w:val="20"/>
          <w:lang w:val="es-ES"/>
        </w:rPr>
      </w:pPr>
    </w:p>
    <w:p w:rsidR="00223000" w:rsidRDefault="00223000" w:rsidP="00713060">
      <w:pPr>
        <w:pStyle w:val="Default"/>
        <w:jc w:val="both"/>
        <w:rPr>
          <w:sz w:val="20"/>
          <w:szCs w:val="20"/>
          <w:lang w:val="es-ES"/>
        </w:rPr>
      </w:pPr>
    </w:p>
    <w:p w:rsidR="00223000" w:rsidRDefault="00223000" w:rsidP="00713060">
      <w:pPr>
        <w:pStyle w:val="Default"/>
        <w:jc w:val="both"/>
        <w:rPr>
          <w:sz w:val="20"/>
          <w:szCs w:val="20"/>
          <w:lang w:val="es-ES"/>
        </w:rPr>
      </w:pPr>
    </w:p>
    <w:p w:rsidR="00223000" w:rsidRDefault="00223000" w:rsidP="00713060">
      <w:pPr>
        <w:pStyle w:val="Default"/>
        <w:jc w:val="both"/>
        <w:rPr>
          <w:sz w:val="20"/>
          <w:szCs w:val="20"/>
          <w:lang w:val="es-ES"/>
        </w:rPr>
      </w:pPr>
    </w:p>
    <w:p w:rsidR="00223000" w:rsidRPr="005C09F7" w:rsidRDefault="00223000" w:rsidP="00713060">
      <w:pPr>
        <w:pStyle w:val="Default"/>
        <w:jc w:val="both"/>
        <w:rPr>
          <w:sz w:val="20"/>
          <w:szCs w:val="20"/>
          <w:lang w:val="es-ES"/>
        </w:rPr>
      </w:pPr>
    </w:p>
    <w:p w:rsidR="00713060" w:rsidRPr="00581F1F" w:rsidRDefault="00713060" w:rsidP="00415314">
      <w:pPr>
        <w:pStyle w:val="Default"/>
        <w:numPr>
          <w:ilvl w:val="0"/>
          <w:numId w:val="24"/>
        </w:numPr>
        <w:jc w:val="both"/>
        <w:rPr>
          <w:b/>
          <w:sz w:val="20"/>
          <w:szCs w:val="20"/>
        </w:rPr>
      </w:pPr>
      <w:r w:rsidRPr="00581F1F">
        <w:rPr>
          <w:b/>
          <w:sz w:val="20"/>
          <w:szCs w:val="20"/>
        </w:rPr>
        <w:lastRenderedPageBreak/>
        <w:t>Notas de Memoria (Cuentas de Orden)</w:t>
      </w:r>
    </w:p>
    <w:p w:rsidR="00713060" w:rsidRPr="00581F1F" w:rsidRDefault="00713060" w:rsidP="00713060">
      <w:pPr>
        <w:pStyle w:val="Default"/>
        <w:jc w:val="both"/>
        <w:rPr>
          <w:sz w:val="20"/>
          <w:szCs w:val="20"/>
        </w:rPr>
      </w:pPr>
    </w:p>
    <w:p w:rsidR="00713060" w:rsidRPr="00581F1F" w:rsidRDefault="00713060" w:rsidP="00713060">
      <w:pPr>
        <w:pStyle w:val="Default"/>
        <w:numPr>
          <w:ilvl w:val="0"/>
          <w:numId w:val="30"/>
        </w:numPr>
        <w:jc w:val="both"/>
        <w:rPr>
          <w:b/>
          <w:sz w:val="20"/>
          <w:szCs w:val="20"/>
        </w:rPr>
      </w:pPr>
      <w:r w:rsidRPr="00581F1F">
        <w:rPr>
          <w:b/>
          <w:sz w:val="20"/>
          <w:szCs w:val="20"/>
        </w:rPr>
        <w:t>Cuentas de orden contables</w:t>
      </w:r>
    </w:p>
    <w:p w:rsidR="00713060" w:rsidRPr="00581F1F" w:rsidRDefault="00713060" w:rsidP="00713060">
      <w:pPr>
        <w:pStyle w:val="Default"/>
        <w:jc w:val="both"/>
        <w:rPr>
          <w:sz w:val="20"/>
          <w:szCs w:val="20"/>
        </w:rPr>
      </w:pPr>
      <w:r w:rsidRPr="00581F1F">
        <w:rPr>
          <w:sz w:val="20"/>
          <w:szCs w:val="20"/>
        </w:rPr>
        <w:t xml:space="preserve">Este rubro se integra de la siguiente manera al </w:t>
      </w:r>
      <w:r w:rsidR="00AF1858">
        <w:rPr>
          <w:sz w:val="20"/>
          <w:szCs w:val="20"/>
        </w:rPr>
        <w:t>3</w:t>
      </w:r>
      <w:r w:rsidR="00804393">
        <w:rPr>
          <w:sz w:val="20"/>
          <w:szCs w:val="20"/>
        </w:rPr>
        <w:t>1</w:t>
      </w:r>
      <w:r w:rsidRPr="00581F1F">
        <w:rPr>
          <w:sz w:val="20"/>
          <w:szCs w:val="20"/>
        </w:rPr>
        <w:t xml:space="preserve"> de </w:t>
      </w:r>
      <w:r w:rsidR="007A63AA">
        <w:rPr>
          <w:sz w:val="20"/>
          <w:szCs w:val="20"/>
        </w:rPr>
        <w:t>dic</w:t>
      </w:r>
      <w:r w:rsidR="00267C67">
        <w:rPr>
          <w:sz w:val="20"/>
          <w:szCs w:val="20"/>
        </w:rPr>
        <w:t>iembre</w:t>
      </w:r>
      <w:r w:rsidRPr="00581F1F">
        <w:rPr>
          <w:sz w:val="20"/>
          <w:szCs w:val="20"/>
        </w:rPr>
        <w:t xml:space="preserve"> de 20</w:t>
      </w:r>
      <w:r w:rsidR="00A1489A">
        <w:rPr>
          <w:sz w:val="20"/>
          <w:szCs w:val="20"/>
        </w:rPr>
        <w:t>20</w:t>
      </w:r>
      <w:r w:rsidRPr="00581F1F">
        <w:rPr>
          <w:sz w:val="20"/>
          <w:szCs w:val="20"/>
        </w:rPr>
        <w:t xml:space="preserve"> y </w:t>
      </w:r>
      <w:r w:rsidR="00A35C2E" w:rsidRPr="00581F1F">
        <w:rPr>
          <w:sz w:val="20"/>
          <w:szCs w:val="20"/>
        </w:rPr>
        <w:t>3</w:t>
      </w:r>
      <w:r w:rsidR="00D73043">
        <w:rPr>
          <w:sz w:val="20"/>
          <w:szCs w:val="20"/>
        </w:rPr>
        <w:t>0</w:t>
      </w:r>
      <w:r w:rsidR="00A35C2E" w:rsidRPr="00581F1F">
        <w:rPr>
          <w:sz w:val="20"/>
          <w:szCs w:val="20"/>
        </w:rPr>
        <w:t xml:space="preserve"> de </w:t>
      </w:r>
      <w:r w:rsidR="00D614DB">
        <w:rPr>
          <w:sz w:val="20"/>
          <w:szCs w:val="20"/>
        </w:rPr>
        <w:t>septiembre</w:t>
      </w:r>
      <w:r w:rsidR="00A35C2E" w:rsidRPr="00581F1F">
        <w:rPr>
          <w:sz w:val="20"/>
          <w:szCs w:val="20"/>
        </w:rPr>
        <w:t xml:space="preserve"> de </w:t>
      </w:r>
      <w:r w:rsidRPr="00581F1F">
        <w:rPr>
          <w:sz w:val="20"/>
          <w:szCs w:val="20"/>
        </w:rPr>
        <w:t>20</w:t>
      </w:r>
      <w:r w:rsidR="00B4366A">
        <w:rPr>
          <w:sz w:val="20"/>
          <w:szCs w:val="20"/>
        </w:rPr>
        <w:t>21</w:t>
      </w:r>
      <w:r w:rsidRPr="00581F1F">
        <w:rPr>
          <w:sz w:val="20"/>
          <w:szCs w:val="20"/>
        </w:rPr>
        <w:t>:</w:t>
      </w:r>
    </w:p>
    <w:p w:rsidR="00713060" w:rsidRPr="00581F1F" w:rsidRDefault="00713060" w:rsidP="00713060">
      <w:pPr>
        <w:pStyle w:val="Default"/>
        <w:jc w:val="both"/>
        <w:rPr>
          <w:sz w:val="20"/>
          <w:szCs w:val="20"/>
        </w:rPr>
      </w:pPr>
    </w:p>
    <w:tbl>
      <w:tblPr>
        <w:tblW w:w="0" w:type="auto"/>
        <w:tblCellMar>
          <w:left w:w="70" w:type="dxa"/>
          <w:right w:w="70" w:type="dxa"/>
        </w:tblCellMar>
        <w:tblLook w:val="04A0" w:firstRow="1" w:lastRow="0" w:firstColumn="1" w:lastColumn="0" w:noHBand="0" w:noVBand="1"/>
      </w:tblPr>
      <w:tblGrid>
        <w:gridCol w:w="1338"/>
        <w:gridCol w:w="996"/>
        <w:gridCol w:w="996"/>
        <w:gridCol w:w="996"/>
        <w:gridCol w:w="184"/>
        <w:gridCol w:w="1419"/>
        <w:gridCol w:w="146"/>
        <w:gridCol w:w="1419"/>
      </w:tblGrid>
      <w:tr w:rsidR="00042844" w:rsidRPr="00581F1F" w:rsidTr="003F06A7">
        <w:trPr>
          <w:trHeight w:val="300"/>
        </w:trPr>
        <w:tc>
          <w:tcPr>
            <w:tcW w:w="0" w:type="auto"/>
            <w:tcBorders>
              <w:top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3F06A7" w:rsidP="002801C6">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A1489A">
              <w:rPr>
                <w:rFonts w:ascii="Arial" w:hAnsi="Arial" w:cs="Arial"/>
                <w:b/>
                <w:bCs/>
                <w:color w:val="000000"/>
                <w:sz w:val="20"/>
                <w:szCs w:val="20"/>
                <w:u w:val="single"/>
                <w:lang w:val="es-MX" w:eastAsia="es-MX"/>
              </w:rPr>
              <w:t>2</w:t>
            </w:r>
            <w:r w:rsidR="002801C6">
              <w:rPr>
                <w:rFonts w:ascii="Arial" w:hAnsi="Arial" w:cs="Arial"/>
                <w:b/>
                <w:bCs/>
                <w:color w:val="000000"/>
                <w:sz w:val="20"/>
                <w:szCs w:val="20"/>
                <w:u w:val="single"/>
                <w:lang w:val="es-MX" w:eastAsia="es-MX"/>
              </w:rPr>
              <w:t>1</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8206CE" w:rsidP="00B4366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4366A">
              <w:rPr>
                <w:rFonts w:ascii="Arial" w:hAnsi="Arial" w:cs="Arial"/>
                <w:b/>
                <w:bCs/>
                <w:color w:val="000000"/>
                <w:sz w:val="20"/>
                <w:szCs w:val="20"/>
                <w:u w:val="single"/>
                <w:lang w:val="es-MX" w:eastAsia="es-MX"/>
              </w:rPr>
              <w:t>20</w:t>
            </w:r>
          </w:p>
        </w:tc>
      </w:tr>
      <w:tr w:rsidR="00042844" w:rsidRPr="00581F1F" w:rsidTr="003F06A7">
        <w:trPr>
          <w:trHeight w:val="285"/>
        </w:trPr>
        <w:tc>
          <w:tcPr>
            <w:tcW w:w="0" w:type="auto"/>
            <w:tcBorders>
              <w:top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r>
      <w:tr w:rsidR="00713060" w:rsidRPr="00581F1F" w:rsidTr="003F06A7">
        <w:trPr>
          <w:trHeight w:val="285"/>
        </w:trPr>
        <w:tc>
          <w:tcPr>
            <w:tcW w:w="0" w:type="auto"/>
            <w:gridSpan w:val="4"/>
            <w:tcBorders>
              <w:top w:val="nil"/>
              <w:bottom w:val="nil"/>
              <w:right w:val="nil"/>
            </w:tcBorders>
            <w:shd w:val="clear" w:color="auto" w:fill="auto"/>
            <w:noWrap/>
            <w:vAlign w:val="bottom"/>
            <w:hideMark/>
          </w:tcPr>
          <w:p w:rsidR="00713060" w:rsidRPr="00581F1F" w:rsidRDefault="000E0C9E" w:rsidP="00713060">
            <w:pPr>
              <w:rPr>
                <w:rFonts w:ascii="Arial" w:hAnsi="Arial" w:cs="Arial"/>
                <w:color w:val="000000"/>
                <w:sz w:val="20"/>
                <w:szCs w:val="20"/>
                <w:lang w:val="es-MX" w:eastAsia="es-MX"/>
              </w:rPr>
            </w:pPr>
            <w:r>
              <w:rPr>
                <w:rFonts w:ascii="Arial" w:hAnsi="Arial" w:cs="Arial"/>
                <w:color w:val="000000"/>
                <w:sz w:val="20"/>
                <w:szCs w:val="20"/>
                <w:lang w:val="es-MX" w:eastAsia="es-MX"/>
              </w:rPr>
              <w:t>Fianzas y Garantías de Contingencia</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D614D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E118D9" w:rsidRPr="00581F1F">
              <w:rPr>
                <w:rFonts w:ascii="Arial" w:hAnsi="Arial" w:cs="Arial"/>
                <w:color w:val="000000"/>
                <w:sz w:val="20"/>
                <w:szCs w:val="20"/>
                <w:lang w:val="es-MX" w:eastAsia="es-MX"/>
              </w:rPr>
              <w:t xml:space="preserve"> </w:t>
            </w:r>
            <w:r w:rsidR="00526843">
              <w:rPr>
                <w:rFonts w:ascii="Arial" w:hAnsi="Arial" w:cs="Arial"/>
                <w:color w:val="000000"/>
                <w:sz w:val="20"/>
                <w:szCs w:val="20"/>
                <w:lang w:val="es-MX" w:eastAsia="es-MX"/>
              </w:rPr>
              <w:t>18</w:t>
            </w:r>
            <w:r w:rsidRPr="00581F1F">
              <w:rPr>
                <w:rFonts w:ascii="Arial" w:hAnsi="Arial" w:cs="Arial"/>
                <w:color w:val="000000"/>
                <w:sz w:val="20"/>
                <w:szCs w:val="20"/>
                <w:lang w:val="es-MX" w:eastAsia="es-MX"/>
              </w:rPr>
              <w:t>,</w:t>
            </w:r>
            <w:r w:rsidR="00D614DB">
              <w:rPr>
                <w:rFonts w:ascii="Arial" w:hAnsi="Arial" w:cs="Arial"/>
                <w:color w:val="000000"/>
                <w:sz w:val="20"/>
                <w:szCs w:val="20"/>
                <w:lang w:val="es-MX" w:eastAsia="es-MX"/>
              </w:rPr>
              <w:t>893</w:t>
            </w:r>
            <w:r w:rsidRPr="00581F1F">
              <w:rPr>
                <w:rFonts w:ascii="Arial" w:hAnsi="Arial" w:cs="Arial"/>
                <w:color w:val="000000"/>
                <w:sz w:val="20"/>
                <w:szCs w:val="20"/>
                <w:lang w:val="es-MX" w:eastAsia="es-MX"/>
              </w:rPr>
              <w:t>,</w:t>
            </w:r>
            <w:r w:rsidR="00D614DB">
              <w:rPr>
                <w:rFonts w:ascii="Arial" w:hAnsi="Arial" w:cs="Arial"/>
                <w:color w:val="000000"/>
                <w:sz w:val="20"/>
                <w:szCs w:val="20"/>
                <w:lang w:val="es-MX" w:eastAsia="es-MX"/>
              </w:rPr>
              <w:t>629</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B4366A">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A1489A">
              <w:rPr>
                <w:rFonts w:ascii="Arial" w:hAnsi="Arial" w:cs="Arial"/>
                <w:color w:val="000000"/>
                <w:sz w:val="20"/>
                <w:szCs w:val="20"/>
                <w:lang w:val="es-MX" w:eastAsia="es-MX"/>
              </w:rPr>
              <w:t>4</w:t>
            </w:r>
            <w:r w:rsidR="00B4366A">
              <w:rPr>
                <w:rFonts w:ascii="Arial" w:hAnsi="Arial" w:cs="Arial"/>
                <w:color w:val="000000"/>
                <w:sz w:val="20"/>
                <w:szCs w:val="20"/>
                <w:lang w:val="es-MX" w:eastAsia="es-MX"/>
              </w:rPr>
              <w:t>3</w:t>
            </w:r>
            <w:r w:rsidRPr="00581F1F">
              <w:rPr>
                <w:rFonts w:ascii="Arial" w:hAnsi="Arial" w:cs="Arial"/>
                <w:color w:val="000000"/>
                <w:sz w:val="20"/>
                <w:szCs w:val="20"/>
                <w:lang w:val="es-MX" w:eastAsia="es-MX"/>
              </w:rPr>
              <w:t>,</w:t>
            </w:r>
            <w:r w:rsidR="00B4366A">
              <w:rPr>
                <w:rFonts w:ascii="Arial" w:hAnsi="Arial" w:cs="Arial"/>
                <w:color w:val="000000"/>
                <w:sz w:val="20"/>
                <w:szCs w:val="20"/>
                <w:lang w:val="es-MX" w:eastAsia="es-MX"/>
              </w:rPr>
              <w:t>885</w:t>
            </w:r>
            <w:r w:rsidRPr="00581F1F">
              <w:rPr>
                <w:rFonts w:ascii="Arial" w:hAnsi="Arial" w:cs="Arial"/>
                <w:color w:val="000000"/>
                <w:sz w:val="20"/>
                <w:szCs w:val="20"/>
                <w:lang w:val="es-MX" w:eastAsia="es-MX"/>
              </w:rPr>
              <w:t>,</w:t>
            </w:r>
            <w:r w:rsidR="002939CD">
              <w:rPr>
                <w:rFonts w:ascii="Arial" w:hAnsi="Arial" w:cs="Arial"/>
                <w:color w:val="000000"/>
                <w:sz w:val="20"/>
                <w:szCs w:val="20"/>
                <w:lang w:val="es-MX" w:eastAsia="es-MX"/>
              </w:rPr>
              <w:t>529</w:t>
            </w:r>
            <w:r w:rsidRPr="00581F1F">
              <w:rPr>
                <w:rFonts w:ascii="Arial" w:hAnsi="Arial" w:cs="Arial"/>
                <w:color w:val="000000"/>
                <w:sz w:val="20"/>
                <w:szCs w:val="20"/>
                <w:lang w:val="es-MX" w:eastAsia="es-MX"/>
              </w:rPr>
              <w:t xml:space="preserve"> </w:t>
            </w:r>
          </w:p>
        </w:tc>
      </w:tr>
      <w:tr w:rsidR="005C09F7" w:rsidRPr="00581F1F" w:rsidTr="005C09F7">
        <w:trPr>
          <w:trHeight w:val="285"/>
        </w:trPr>
        <w:tc>
          <w:tcPr>
            <w:tcW w:w="0" w:type="auto"/>
            <w:gridSpan w:val="4"/>
            <w:tcBorders>
              <w:top w:val="nil"/>
              <w:bottom w:val="nil"/>
              <w:right w:val="nil"/>
            </w:tcBorders>
            <w:shd w:val="clear" w:color="auto" w:fill="auto"/>
            <w:noWrap/>
            <w:vAlign w:val="bottom"/>
            <w:hideMark/>
          </w:tcPr>
          <w:p w:rsidR="005C09F7" w:rsidRPr="00581F1F" w:rsidRDefault="000E0C9E" w:rsidP="0005541A">
            <w:pPr>
              <w:rPr>
                <w:rFonts w:ascii="Arial" w:hAnsi="Arial" w:cs="Arial"/>
                <w:color w:val="000000"/>
                <w:sz w:val="20"/>
                <w:szCs w:val="20"/>
                <w:lang w:val="es-MX" w:eastAsia="es-MX"/>
              </w:rPr>
            </w:pPr>
            <w:r>
              <w:rPr>
                <w:rFonts w:ascii="Arial" w:hAnsi="Arial" w:cs="Arial"/>
                <w:color w:val="000000"/>
                <w:sz w:val="20"/>
                <w:szCs w:val="20"/>
                <w:lang w:val="es-MX" w:eastAsia="es-MX"/>
              </w:rPr>
              <w:t>Castigos aplicados</w:t>
            </w:r>
          </w:p>
        </w:tc>
        <w:tc>
          <w:tcPr>
            <w:tcW w:w="0" w:type="auto"/>
            <w:tcBorders>
              <w:top w:val="nil"/>
              <w:left w:val="nil"/>
              <w:right w:val="nil"/>
            </w:tcBorders>
            <w:shd w:val="clear" w:color="auto" w:fill="auto"/>
            <w:noWrap/>
            <w:vAlign w:val="bottom"/>
            <w:hideMark/>
          </w:tcPr>
          <w:p w:rsidR="005C09F7" w:rsidRPr="00581F1F" w:rsidRDefault="005C09F7" w:rsidP="0005541A">
            <w:pPr>
              <w:rPr>
                <w:rFonts w:ascii="Arial" w:hAnsi="Arial" w:cs="Arial"/>
                <w:color w:val="000000"/>
                <w:sz w:val="20"/>
                <w:szCs w:val="20"/>
                <w:lang w:val="es-MX" w:eastAsia="es-MX"/>
              </w:rPr>
            </w:pPr>
          </w:p>
        </w:tc>
        <w:tc>
          <w:tcPr>
            <w:tcW w:w="0" w:type="auto"/>
            <w:tcBorders>
              <w:top w:val="nil"/>
              <w:left w:val="nil"/>
              <w:right w:val="nil"/>
            </w:tcBorders>
            <w:shd w:val="clear" w:color="auto" w:fill="auto"/>
            <w:noWrap/>
            <w:vAlign w:val="bottom"/>
            <w:hideMark/>
          </w:tcPr>
          <w:p w:rsidR="005C09F7" w:rsidRPr="00581F1F" w:rsidRDefault="005C09F7" w:rsidP="000E0C9E">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0E0C9E">
              <w:rPr>
                <w:rFonts w:ascii="Arial" w:hAnsi="Arial" w:cs="Arial"/>
                <w:color w:val="000000"/>
                <w:sz w:val="20"/>
                <w:szCs w:val="20"/>
                <w:lang w:val="es-MX" w:eastAsia="es-MX"/>
              </w:rPr>
              <w:t>88</w:t>
            </w:r>
            <w:r w:rsidRPr="00581F1F">
              <w:rPr>
                <w:rFonts w:ascii="Arial" w:hAnsi="Arial" w:cs="Arial"/>
                <w:color w:val="000000"/>
                <w:sz w:val="20"/>
                <w:szCs w:val="20"/>
                <w:lang w:val="es-MX" w:eastAsia="es-MX"/>
              </w:rPr>
              <w:t>,</w:t>
            </w:r>
            <w:r w:rsidR="000E0C9E">
              <w:rPr>
                <w:rFonts w:ascii="Arial" w:hAnsi="Arial" w:cs="Arial"/>
                <w:color w:val="000000"/>
                <w:sz w:val="20"/>
                <w:szCs w:val="20"/>
                <w:lang w:val="es-MX" w:eastAsia="es-MX"/>
              </w:rPr>
              <w:t>467</w:t>
            </w:r>
            <w:r w:rsidRPr="00581F1F">
              <w:rPr>
                <w:rFonts w:ascii="Arial" w:hAnsi="Arial" w:cs="Arial"/>
                <w:color w:val="000000"/>
                <w:sz w:val="20"/>
                <w:szCs w:val="20"/>
                <w:lang w:val="es-MX" w:eastAsia="es-MX"/>
              </w:rPr>
              <w:t xml:space="preserve"> </w:t>
            </w:r>
          </w:p>
        </w:tc>
        <w:tc>
          <w:tcPr>
            <w:tcW w:w="0" w:type="auto"/>
            <w:tcBorders>
              <w:top w:val="nil"/>
              <w:left w:val="nil"/>
              <w:right w:val="nil"/>
            </w:tcBorders>
            <w:shd w:val="clear" w:color="auto" w:fill="auto"/>
            <w:noWrap/>
            <w:vAlign w:val="bottom"/>
            <w:hideMark/>
          </w:tcPr>
          <w:p w:rsidR="005C09F7" w:rsidRPr="00581F1F" w:rsidRDefault="005C09F7" w:rsidP="0005541A">
            <w:pPr>
              <w:rPr>
                <w:rFonts w:ascii="Arial" w:hAnsi="Arial" w:cs="Arial"/>
                <w:color w:val="000000"/>
                <w:sz w:val="20"/>
                <w:szCs w:val="20"/>
                <w:lang w:val="es-MX" w:eastAsia="es-MX"/>
              </w:rPr>
            </w:pPr>
          </w:p>
        </w:tc>
        <w:tc>
          <w:tcPr>
            <w:tcW w:w="0" w:type="auto"/>
            <w:tcBorders>
              <w:top w:val="nil"/>
              <w:left w:val="nil"/>
              <w:right w:val="nil"/>
            </w:tcBorders>
            <w:shd w:val="clear" w:color="auto" w:fill="auto"/>
            <w:noWrap/>
            <w:vAlign w:val="bottom"/>
            <w:hideMark/>
          </w:tcPr>
          <w:p w:rsidR="005C09F7" w:rsidRPr="00581F1F" w:rsidRDefault="005C09F7" w:rsidP="00154E20">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154E20">
              <w:rPr>
                <w:rFonts w:ascii="Arial" w:hAnsi="Arial" w:cs="Arial"/>
                <w:color w:val="000000"/>
                <w:sz w:val="20"/>
                <w:szCs w:val="20"/>
                <w:lang w:val="es-MX" w:eastAsia="es-MX"/>
              </w:rPr>
              <w:t>88,467</w:t>
            </w:r>
            <w:r w:rsidRPr="00581F1F">
              <w:rPr>
                <w:rFonts w:ascii="Arial" w:hAnsi="Arial" w:cs="Arial"/>
                <w:color w:val="000000"/>
                <w:sz w:val="20"/>
                <w:szCs w:val="20"/>
                <w:lang w:val="es-MX" w:eastAsia="es-MX"/>
              </w:rPr>
              <w:t xml:space="preserve"> </w:t>
            </w:r>
          </w:p>
        </w:tc>
      </w:tr>
      <w:tr w:rsidR="00713060" w:rsidRPr="00581F1F" w:rsidTr="005C09F7">
        <w:trPr>
          <w:trHeight w:val="285"/>
        </w:trPr>
        <w:tc>
          <w:tcPr>
            <w:tcW w:w="0" w:type="auto"/>
            <w:gridSpan w:val="5"/>
            <w:tcBorders>
              <w:top w:val="nil"/>
              <w:bottom w:val="nil"/>
              <w:right w:val="nil"/>
            </w:tcBorders>
            <w:shd w:val="clear" w:color="auto" w:fill="auto"/>
            <w:noWrap/>
            <w:vAlign w:val="bottom"/>
            <w:hideMark/>
          </w:tcPr>
          <w:p w:rsidR="00713060" w:rsidRPr="00581F1F" w:rsidRDefault="00713060" w:rsidP="00042844">
            <w:pP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Bienes bajo contrato de comodato – </w:t>
            </w:r>
            <w:r w:rsidR="00154E20">
              <w:rPr>
                <w:rFonts w:ascii="Arial" w:hAnsi="Arial" w:cs="Arial"/>
                <w:color w:val="000000"/>
                <w:sz w:val="20"/>
                <w:szCs w:val="20"/>
                <w:lang w:val="es-MX" w:eastAsia="es-MX"/>
              </w:rPr>
              <w:t>SAGAR</w:t>
            </w:r>
            <w:r w:rsidR="00042844">
              <w:rPr>
                <w:rFonts w:ascii="Arial" w:hAnsi="Arial" w:cs="Arial"/>
                <w:color w:val="000000"/>
                <w:sz w:val="20"/>
                <w:szCs w:val="20"/>
                <w:lang w:val="es-MX" w:eastAsia="es-MX"/>
              </w:rPr>
              <w:t>H</w:t>
            </w:r>
            <w:r w:rsidR="00154E20">
              <w:rPr>
                <w:rFonts w:ascii="Arial" w:hAnsi="Arial" w:cs="Arial"/>
                <w:color w:val="000000"/>
                <w:sz w:val="20"/>
                <w:szCs w:val="20"/>
                <w:lang w:val="es-MX" w:eastAsia="es-MX"/>
              </w:rPr>
              <w:t>PA</w:t>
            </w:r>
          </w:p>
        </w:tc>
        <w:tc>
          <w:tcPr>
            <w:tcW w:w="0" w:type="auto"/>
            <w:tcBorders>
              <w:top w:val="nil"/>
              <w:left w:val="nil"/>
              <w:bottom w:val="single" w:sz="4" w:space="0" w:color="auto"/>
              <w:right w:val="nil"/>
            </w:tcBorders>
            <w:shd w:val="clear" w:color="auto" w:fill="auto"/>
            <w:noWrap/>
            <w:vAlign w:val="bottom"/>
          </w:tcPr>
          <w:p w:rsidR="00713060" w:rsidRPr="00581F1F" w:rsidRDefault="00154E20" w:rsidP="003F06A7">
            <w:pPr>
              <w:jc w:val="right"/>
              <w:rPr>
                <w:rFonts w:ascii="Arial" w:hAnsi="Arial" w:cs="Arial"/>
                <w:color w:val="000000"/>
                <w:sz w:val="20"/>
                <w:szCs w:val="20"/>
                <w:lang w:val="es-MX" w:eastAsia="es-MX"/>
              </w:rPr>
            </w:pPr>
            <w:r>
              <w:rPr>
                <w:rFonts w:ascii="Arial" w:hAnsi="Arial" w:cs="Arial"/>
                <w:color w:val="000000"/>
                <w:sz w:val="20"/>
                <w:szCs w:val="20"/>
                <w:lang w:val="es-MX" w:eastAsia="es-MX"/>
              </w:rPr>
              <w:t>1</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left w:val="nil"/>
              <w:bottom w:val="single" w:sz="4" w:space="0" w:color="auto"/>
              <w:right w:val="nil"/>
            </w:tcBorders>
            <w:shd w:val="clear" w:color="auto" w:fill="auto"/>
            <w:noWrap/>
            <w:vAlign w:val="bottom"/>
            <w:hideMark/>
          </w:tcPr>
          <w:p w:rsidR="00713060" w:rsidRPr="00581F1F" w:rsidRDefault="00154E20" w:rsidP="00154E20">
            <w:pPr>
              <w:jc w:val="right"/>
              <w:rPr>
                <w:rFonts w:ascii="Arial" w:hAnsi="Arial" w:cs="Arial"/>
                <w:color w:val="000000"/>
                <w:sz w:val="20"/>
                <w:szCs w:val="20"/>
                <w:lang w:val="es-MX" w:eastAsia="es-MX"/>
              </w:rPr>
            </w:pPr>
            <w:r>
              <w:rPr>
                <w:rFonts w:ascii="Arial" w:hAnsi="Arial" w:cs="Arial"/>
                <w:color w:val="000000"/>
                <w:sz w:val="20"/>
                <w:szCs w:val="20"/>
                <w:lang w:val="es-MX" w:eastAsia="es-MX"/>
              </w:rPr>
              <w:t>1</w:t>
            </w:r>
            <w:r w:rsidR="00713060" w:rsidRPr="00581F1F">
              <w:rPr>
                <w:rFonts w:ascii="Arial" w:hAnsi="Arial" w:cs="Arial"/>
                <w:color w:val="000000"/>
                <w:sz w:val="20"/>
                <w:szCs w:val="20"/>
                <w:lang w:val="es-MX" w:eastAsia="es-MX"/>
              </w:rPr>
              <w:t xml:space="preserve">          </w:t>
            </w:r>
          </w:p>
        </w:tc>
      </w:tr>
      <w:tr w:rsidR="00042844" w:rsidRPr="00581F1F" w:rsidTr="005C09F7">
        <w:trPr>
          <w:trHeight w:val="315"/>
        </w:trPr>
        <w:tc>
          <w:tcPr>
            <w:tcW w:w="0" w:type="auto"/>
            <w:tcBorders>
              <w:top w:val="nil"/>
              <w:bottom w:val="nil"/>
              <w:right w:val="nil"/>
            </w:tcBorders>
            <w:shd w:val="clear" w:color="auto" w:fill="auto"/>
            <w:noWrap/>
            <w:vAlign w:val="bottom"/>
          </w:tcPr>
          <w:p w:rsidR="00E118D9" w:rsidRPr="00581F1F" w:rsidRDefault="00E118D9" w:rsidP="00E118D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top w:val="nil"/>
              <w:left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top w:val="nil"/>
              <w:left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left w:val="nil"/>
              <w:right w:val="nil"/>
            </w:tcBorders>
            <w:shd w:val="clear" w:color="auto" w:fill="auto"/>
            <w:noWrap/>
            <w:vAlign w:val="bottom"/>
          </w:tcPr>
          <w:p w:rsidR="00E118D9" w:rsidRPr="00581F1F" w:rsidRDefault="00526843" w:rsidP="00D614DB">
            <w:pPr>
              <w:jc w:val="right"/>
              <w:rPr>
                <w:rFonts w:ascii="Arial" w:hAnsi="Arial" w:cs="Arial"/>
                <w:bCs/>
                <w:color w:val="000000"/>
                <w:sz w:val="20"/>
                <w:szCs w:val="20"/>
                <w:lang w:val="es-MX" w:eastAsia="es-MX"/>
              </w:rPr>
            </w:pPr>
            <w:r>
              <w:rPr>
                <w:rFonts w:ascii="Arial" w:hAnsi="Arial" w:cs="Arial"/>
                <w:bCs/>
                <w:color w:val="000000"/>
                <w:sz w:val="20"/>
                <w:szCs w:val="20"/>
                <w:lang w:val="es-MX" w:eastAsia="es-MX"/>
              </w:rPr>
              <w:t>18</w:t>
            </w:r>
            <w:r w:rsidR="00E118D9" w:rsidRPr="00581F1F">
              <w:rPr>
                <w:rFonts w:ascii="Arial" w:hAnsi="Arial" w:cs="Arial"/>
                <w:bCs/>
                <w:color w:val="000000"/>
                <w:sz w:val="20"/>
                <w:szCs w:val="20"/>
                <w:lang w:val="es-MX" w:eastAsia="es-MX"/>
              </w:rPr>
              <w:t>,</w:t>
            </w:r>
            <w:r w:rsidR="00D614DB">
              <w:rPr>
                <w:rFonts w:ascii="Arial" w:hAnsi="Arial" w:cs="Arial"/>
                <w:bCs/>
                <w:color w:val="000000"/>
                <w:sz w:val="20"/>
                <w:szCs w:val="20"/>
                <w:lang w:val="es-MX" w:eastAsia="es-MX"/>
              </w:rPr>
              <w:t>982</w:t>
            </w:r>
            <w:r w:rsidR="00E118D9" w:rsidRPr="00581F1F">
              <w:rPr>
                <w:rFonts w:ascii="Arial" w:hAnsi="Arial" w:cs="Arial"/>
                <w:bCs/>
                <w:color w:val="000000"/>
                <w:sz w:val="20"/>
                <w:szCs w:val="20"/>
                <w:lang w:val="es-MX" w:eastAsia="es-MX"/>
              </w:rPr>
              <w:t>,</w:t>
            </w:r>
            <w:r>
              <w:rPr>
                <w:rFonts w:ascii="Arial" w:hAnsi="Arial" w:cs="Arial"/>
                <w:bCs/>
                <w:color w:val="000000"/>
                <w:sz w:val="20"/>
                <w:szCs w:val="20"/>
                <w:lang w:val="es-MX" w:eastAsia="es-MX"/>
              </w:rPr>
              <w:t>097</w:t>
            </w:r>
          </w:p>
        </w:tc>
        <w:tc>
          <w:tcPr>
            <w:tcW w:w="0" w:type="auto"/>
            <w:tcBorders>
              <w:left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left w:val="nil"/>
              <w:right w:val="nil"/>
            </w:tcBorders>
            <w:shd w:val="clear" w:color="auto" w:fill="auto"/>
            <w:noWrap/>
            <w:vAlign w:val="bottom"/>
          </w:tcPr>
          <w:p w:rsidR="00E118D9" w:rsidRPr="00581F1F" w:rsidRDefault="00A1489A" w:rsidP="00B4366A">
            <w:pPr>
              <w:jc w:val="right"/>
              <w:rPr>
                <w:rFonts w:ascii="Arial" w:hAnsi="Arial" w:cs="Arial"/>
                <w:bCs/>
                <w:color w:val="000000"/>
                <w:sz w:val="20"/>
                <w:szCs w:val="20"/>
                <w:lang w:val="es-MX" w:eastAsia="es-MX"/>
              </w:rPr>
            </w:pPr>
            <w:r>
              <w:rPr>
                <w:rFonts w:ascii="Arial" w:hAnsi="Arial" w:cs="Arial"/>
                <w:bCs/>
                <w:color w:val="000000"/>
                <w:sz w:val="20"/>
                <w:szCs w:val="20"/>
                <w:lang w:val="es-MX" w:eastAsia="es-MX"/>
              </w:rPr>
              <w:t>4</w:t>
            </w:r>
            <w:r w:rsidR="00B4366A">
              <w:rPr>
                <w:rFonts w:ascii="Arial" w:hAnsi="Arial" w:cs="Arial"/>
                <w:bCs/>
                <w:color w:val="000000"/>
                <w:sz w:val="20"/>
                <w:szCs w:val="20"/>
                <w:lang w:val="es-MX" w:eastAsia="es-MX"/>
              </w:rPr>
              <w:t>3</w:t>
            </w:r>
            <w:r w:rsidR="00E118D9" w:rsidRPr="00581F1F">
              <w:rPr>
                <w:rFonts w:ascii="Arial" w:hAnsi="Arial" w:cs="Arial"/>
                <w:bCs/>
                <w:color w:val="000000"/>
                <w:sz w:val="20"/>
                <w:szCs w:val="20"/>
                <w:lang w:val="es-MX" w:eastAsia="es-MX"/>
              </w:rPr>
              <w:t>,</w:t>
            </w:r>
            <w:r w:rsidR="00B4366A">
              <w:rPr>
                <w:rFonts w:ascii="Arial" w:hAnsi="Arial" w:cs="Arial"/>
                <w:bCs/>
                <w:color w:val="000000"/>
                <w:sz w:val="20"/>
                <w:szCs w:val="20"/>
                <w:lang w:val="es-MX" w:eastAsia="es-MX"/>
              </w:rPr>
              <w:t>973</w:t>
            </w:r>
            <w:r w:rsidR="00E118D9" w:rsidRPr="00581F1F">
              <w:rPr>
                <w:rFonts w:ascii="Arial" w:hAnsi="Arial" w:cs="Arial"/>
                <w:bCs/>
                <w:color w:val="000000"/>
                <w:sz w:val="20"/>
                <w:szCs w:val="20"/>
                <w:lang w:val="es-MX" w:eastAsia="es-MX"/>
              </w:rPr>
              <w:t>,</w:t>
            </w:r>
            <w:r w:rsidR="00EE3828">
              <w:rPr>
                <w:rFonts w:ascii="Arial" w:hAnsi="Arial" w:cs="Arial"/>
                <w:bCs/>
                <w:color w:val="000000"/>
                <w:sz w:val="20"/>
                <w:szCs w:val="20"/>
                <w:lang w:val="es-MX" w:eastAsia="es-MX"/>
              </w:rPr>
              <w:t>997</w:t>
            </w:r>
          </w:p>
        </w:tc>
      </w:tr>
    </w:tbl>
    <w:p w:rsidR="00180430" w:rsidRDefault="00180430" w:rsidP="00713060">
      <w:pPr>
        <w:pStyle w:val="Default"/>
        <w:jc w:val="both"/>
        <w:rPr>
          <w:sz w:val="20"/>
          <w:szCs w:val="20"/>
        </w:rPr>
      </w:pPr>
    </w:p>
    <w:p w:rsidR="00631B78" w:rsidRDefault="00631B78" w:rsidP="00631B78">
      <w:pPr>
        <w:pStyle w:val="Default"/>
        <w:ind w:left="720"/>
        <w:jc w:val="both"/>
        <w:rPr>
          <w:b/>
          <w:sz w:val="20"/>
          <w:szCs w:val="20"/>
        </w:rPr>
      </w:pPr>
    </w:p>
    <w:p w:rsidR="00631B78" w:rsidRDefault="00631B78" w:rsidP="00631B78">
      <w:pPr>
        <w:pStyle w:val="Default"/>
        <w:ind w:left="720"/>
        <w:jc w:val="both"/>
        <w:rPr>
          <w:b/>
          <w:sz w:val="20"/>
          <w:szCs w:val="20"/>
        </w:rPr>
      </w:pPr>
    </w:p>
    <w:p w:rsidR="00713060" w:rsidRPr="00581F1F" w:rsidRDefault="00713060" w:rsidP="00EC7D31">
      <w:pPr>
        <w:pStyle w:val="Default"/>
        <w:numPr>
          <w:ilvl w:val="0"/>
          <w:numId w:val="24"/>
        </w:numPr>
        <w:jc w:val="both"/>
        <w:rPr>
          <w:b/>
          <w:sz w:val="20"/>
          <w:szCs w:val="20"/>
        </w:rPr>
      </w:pPr>
      <w:r w:rsidRPr="00581F1F">
        <w:rPr>
          <w:b/>
          <w:sz w:val="20"/>
          <w:szCs w:val="20"/>
        </w:rPr>
        <w:t>Notas de Gestión Administrativa</w:t>
      </w:r>
    </w:p>
    <w:p w:rsidR="00713060" w:rsidRPr="00581F1F" w:rsidRDefault="00713060" w:rsidP="00713060">
      <w:pPr>
        <w:pStyle w:val="Default"/>
        <w:jc w:val="both"/>
        <w:rPr>
          <w:sz w:val="20"/>
          <w:szCs w:val="20"/>
        </w:rPr>
      </w:pPr>
    </w:p>
    <w:p w:rsidR="00713060" w:rsidRPr="00581F1F" w:rsidRDefault="00713060" w:rsidP="00713060">
      <w:pPr>
        <w:pStyle w:val="Default"/>
        <w:numPr>
          <w:ilvl w:val="0"/>
          <w:numId w:val="31"/>
        </w:numPr>
        <w:jc w:val="both"/>
        <w:rPr>
          <w:b/>
          <w:sz w:val="20"/>
          <w:szCs w:val="20"/>
          <w:u w:val="single"/>
        </w:rPr>
      </w:pPr>
      <w:r w:rsidRPr="00581F1F">
        <w:rPr>
          <w:b/>
          <w:sz w:val="20"/>
          <w:szCs w:val="20"/>
          <w:u w:val="single"/>
        </w:rPr>
        <w:t>Introducción</w:t>
      </w:r>
    </w:p>
    <w:p w:rsidR="00713060" w:rsidRPr="00581F1F" w:rsidRDefault="00713060" w:rsidP="00713060">
      <w:pPr>
        <w:pStyle w:val="Default"/>
        <w:jc w:val="both"/>
        <w:rPr>
          <w:sz w:val="20"/>
          <w:szCs w:val="20"/>
        </w:rPr>
      </w:pPr>
      <w:r w:rsidRPr="00581F1F">
        <w:rPr>
          <w:sz w:val="20"/>
          <w:szCs w:val="20"/>
        </w:rPr>
        <w:t>Los Estados Financieros se conforman con la información resultante de las operaciones derivadas de la recaudación de los ingresos presupuestarios; el ejercicio del gasto; el manejo y custodia de los recursos propiedad de la Entidad o a su cuidado; así como todas aquellas operaciones contables que modifiquen el Patrimonio.</w:t>
      </w:r>
    </w:p>
    <w:p w:rsidR="007E372B" w:rsidRPr="00581F1F" w:rsidRDefault="007E372B" w:rsidP="00713060">
      <w:pPr>
        <w:pStyle w:val="Default"/>
        <w:jc w:val="both"/>
        <w:rPr>
          <w:sz w:val="20"/>
          <w:szCs w:val="20"/>
        </w:rPr>
      </w:pPr>
    </w:p>
    <w:p w:rsidR="00713060" w:rsidRPr="00420C82" w:rsidRDefault="00713060" w:rsidP="00713060">
      <w:pPr>
        <w:pStyle w:val="Default"/>
        <w:numPr>
          <w:ilvl w:val="0"/>
          <w:numId w:val="31"/>
        </w:numPr>
        <w:jc w:val="both"/>
        <w:rPr>
          <w:b/>
          <w:sz w:val="20"/>
          <w:szCs w:val="20"/>
          <w:u w:val="single"/>
        </w:rPr>
      </w:pPr>
      <w:r w:rsidRPr="00420C82">
        <w:rPr>
          <w:b/>
          <w:sz w:val="20"/>
          <w:szCs w:val="20"/>
          <w:u w:val="single"/>
        </w:rPr>
        <w:t>Panorama Económico y Financiero</w:t>
      </w:r>
    </w:p>
    <w:p w:rsidR="00903793" w:rsidRDefault="00903793" w:rsidP="00903793">
      <w:pPr>
        <w:pStyle w:val="Default"/>
        <w:jc w:val="both"/>
        <w:rPr>
          <w:b/>
          <w:sz w:val="20"/>
          <w:szCs w:val="20"/>
          <w:u w:val="single"/>
        </w:rPr>
      </w:pPr>
    </w:p>
    <w:p w:rsidR="009677DF" w:rsidRPr="009677DF" w:rsidRDefault="009677DF" w:rsidP="009677DF">
      <w:pPr>
        <w:pStyle w:val="Default"/>
        <w:jc w:val="both"/>
        <w:rPr>
          <w:sz w:val="20"/>
          <w:szCs w:val="20"/>
        </w:rPr>
      </w:pPr>
      <w:r w:rsidRPr="009677DF">
        <w:rPr>
          <w:sz w:val="20"/>
          <w:szCs w:val="20"/>
        </w:rPr>
        <w:t>La economía mexicana  concluy</w:t>
      </w:r>
      <w:r>
        <w:rPr>
          <w:sz w:val="20"/>
          <w:szCs w:val="20"/>
        </w:rPr>
        <w:t>o</w:t>
      </w:r>
      <w:r w:rsidRPr="009677DF">
        <w:rPr>
          <w:sz w:val="20"/>
          <w:szCs w:val="20"/>
        </w:rPr>
        <w:t xml:space="preserve"> el 2020 con su peor desempeño económico desde 1946 con una contracción del PIB de aproximadamente 9 por ciento. La expectativa de principios del año pasado era que la economía mexicana crecería alrededor de 1% en el 2020 pero la llegada de la pandemia que paralizó la actividad económica durante meses y la ausencia de políticas económicas enfocadas a contrarrestar el impacto del cierre de actividades, dejan a México como uno de los países dentro del G20 con peor desempeño económico.</w:t>
      </w:r>
    </w:p>
    <w:p w:rsidR="009677DF" w:rsidRPr="009677DF" w:rsidRDefault="009677DF" w:rsidP="009677DF">
      <w:pPr>
        <w:pStyle w:val="Default"/>
        <w:jc w:val="both"/>
        <w:rPr>
          <w:sz w:val="20"/>
          <w:szCs w:val="20"/>
        </w:rPr>
      </w:pPr>
      <w:r>
        <w:rPr>
          <w:sz w:val="20"/>
          <w:szCs w:val="20"/>
        </w:rPr>
        <w:t>L</w:t>
      </w:r>
      <w:r w:rsidRPr="009677DF">
        <w:rPr>
          <w:sz w:val="20"/>
          <w:szCs w:val="20"/>
        </w:rPr>
        <w:t>a pandemia y la caída de los precios del petróleo en un momento en el que nuestra economía ya exhibía señales de fragilidad.</w:t>
      </w:r>
    </w:p>
    <w:p w:rsidR="009677DF" w:rsidRPr="009677DF" w:rsidRDefault="009677DF" w:rsidP="009677DF">
      <w:pPr>
        <w:pStyle w:val="Default"/>
        <w:jc w:val="both"/>
        <w:rPr>
          <w:sz w:val="20"/>
          <w:szCs w:val="20"/>
        </w:rPr>
      </w:pPr>
      <w:r w:rsidRPr="009677DF">
        <w:rPr>
          <w:sz w:val="20"/>
          <w:szCs w:val="20"/>
        </w:rPr>
        <w:t>A pesar de que la economía global y la de nuestro principal socio comercial crecía a un ritmo saludable antes de la pandemia, la actividad económica en nuestro país se había desacelerado considerablemente y se encontraba ya en recesión, o en el mejor de los casos en estancamiento.</w:t>
      </w:r>
    </w:p>
    <w:p w:rsidR="009677DF" w:rsidRPr="009677DF" w:rsidRDefault="009677DF" w:rsidP="009677DF">
      <w:pPr>
        <w:pStyle w:val="Default"/>
        <w:jc w:val="both"/>
        <w:rPr>
          <w:sz w:val="20"/>
          <w:szCs w:val="20"/>
        </w:rPr>
      </w:pPr>
      <w:r w:rsidRPr="009677DF">
        <w:rPr>
          <w:sz w:val="20"/>
          <w:szCs w:val="20"/>
        </w:rPr>
        <w:t>Después de un trágico 2020</w:t>
      </w:r>
      <w:r>
        <w:rPr>
          <w:sz w:val="20"/>
          <w:szCs w:val="20"/>
        </w:rPr>
        <w:t xml:space="preserve"> </w:t>
      </w:r>
      <w:r w:rsidRPr="009677DF">
        <w:rPr>
          <w:sz w:val="20"/>
          <w:szCs w:val="20"/>
        </w:rPr>
        <w:t>tanto en términos de crisis sanitaria como económica</w:t>
      </w:r>
      <w:r>
        <w:rPr>
          <w:sz w:val="20"/>
          <w:szCs w:val="20"/>
        </w:rPr>
        <w:t xml:space="preserve"> </w:t>
      </w:r>
      <w:r w:rsidRPr="009677DF">
        <w:rPr>
          <w:sz w:val="20"/>
          <w:szCs w:val="20"/>
        </w:rPr>
        <w:t>el 2021 pinta mejor en términos económicos ante la llegada de la vacuna para el Covid-19 y la reapertura de actividades. Sin embargo, la principal razón por la cual nuestra economía tendrá un mejor desempeño en el 2021 es la robusta recuperación en la actividad económica en Estados Unidos, nuestro principal socio comercial. </w:t>
      </w:r>
    </w:p>
    <w:p w:rsidR="00903793" w:rsidRPr="00581F1F" w:rsidRDefault="00903793" w:rsidP="00903793">
      <w:pPr>
        <w:pStyle w:val="Default"/>
        <w:jc w:val="both"/>
        <w:rPr>
          <w:b/>
          <w:sz w:val="20"/>
          <w:szCs w:val="20"/>
          <w:u w:val="single"/>
        </w:rPr>
      </w:pPr>
    </w:p>
    <w:p w:rsidR="00713060" w:rsidRPr="00581F1F" w:rsidRDefault="00713060" w:rsidP="00713060">
      <w:pPr>
        <w:pStyle w:val="Default"/>
        <w:numPr>
          <w:ilvl w:val="0"/>
          <w:numId w:val="31"/>
        </w:numPr>
        <w:jc w:val="both"/>
        <w:rPr>
          <w:b/>
          <w:sz w:val="20"/>
          <w:szCs w:val="20"/>
          <w:u w:val="single"/>
        </w:rPr>
      </w:pPr>
      <w:r w:rsidRPr="00581F1F">
        <w:rPr>
          <w:b/>
          <w:sz w:val="20"/>
          <w:szCs w:val="20"/>
          <w:u w:val="single"/>
        </w:rPr>
        <w:t>Autorización e Historia</w:t>
      </w:r>
    </w:p>
    <w:p w:rsidR="00042844" w:rsidRPr="00042844" w:rsidRDefault="00042844" w:rsidP="00042844">
      <w:pPr>
        <w:jc w:val="both"/>
        <w:rPr>
          <w:rFonts w:ascii="Arial" w:hAnsi="Arial" w:cs="Arial"/>
          <w:sz w:val="20"/>
          <w:szCs w:val="20"/>
        </w:rPr>
      </w:pPr>
      <w:r w:rsidRPr="00042844">
        <w:rPr>
          <w:rFonts w:ascii="Arial" w:hAnsi="Arial" w:cs="Arial"/>
          <w:sz w:val="20"/>
          <w:szCs w:val="20"/>
        </w:rPr>
        <w:t>El Fideicomiso Maestro para el Financiamiento del Sector Agropecuario en Sonora se crea como entidad de la Administración Pública Paraestatal del Gobierno de Sonora, mediante decreto número 42, tomo CLXVII, publicado en el Boletín Oficial del Estado de Sonora el 24 de mayo del año 20</w:t>
      </w:r>
      <w:r w:rsidR="00772B68">
        <w:rPr>
          <w:rFonts w:ascii="Arial" w:hAnsi="Arial" w:cs="Arial"/>
          <w:sz w:val="20"/>
          <w:szCs w:val="20"/>
        </w:rPr>
        <w:t>0</w:t>
      </w:r>
      <w:r w:rsidRPr="00042844">
        <w:rPr>
          <w:rFonts w:ascii="Arial" w:hAnsi="Arial" w:cs="Arial"/>
          <w:sz w:val="20"/>
          <w:szCs w:val="20"/>
        </w:rPr>
        <w:t>1.</w:t>
      </w:r>
    </w:p>
    <w:p w:rsidR="00042844" w:rsidRPr="00042844" w:rsidRDefault="00042844" w:rsidP="00042844">
      <w:pPr>
        <w:jc w:val="both"/>
        <w:rPr>
          <w:rFonts w:ascii="Arial" w:hAnsi="Arial" w:cs="Arial"/>
          <w:sz w:val="20"/>
          <w:szCs w:val="20"/>
        </w:rPr>
      </w:pPr>
    </w:p>
    <w:p w:rsidR="00042844" w:rsidRPr="00042844" w:rsidRDefault="00042844" w:rsidP="00042844">
      <w:pPr>
        <w:jc w:val="both"/>
        <w:rPr>
          <w:rFonts w:ascii="Arial" w:hAnsi="Arial" w:cs="Arial"/>
          <w:sz w:val="20"/>
          <w:szCs w:val="20"/>
        </w:rPr>
      </w:pPr>
      <w:r w:rsidRPr="00042844">
        <w:rPr>
          <w:rFonts w:ascii="Arial" w:hAnsi="Arial" w:cs="Arial"/>
          <w:sz w:val="20"/>
          <w:szCs w:val="20"/>
        </w:rPr>
        <w:t>El fideicomiso fue sectorizado a la Secretaría de Agricultura, Ganadería, Recursos Hidráulicos, Pesca y Acuacultura según el Acuerdo de Agrupamiento de Entidades del 2011.</w:t>
      </w:r>
    </w:p>
    <w:p w:rsidR="00042844" w:rsidRPr="00042844" w:rsidRDefault="00042844" w:rsidP="00042844">
      <w:pPr>
        <w:jc w:val="both"/>
        <w:rPr>
          <w:rFonts w:ascii="Arial" w:hAnsi="Arial" w:cs="Arial"/>
          <w:sz w:val="20"/>
          <w:szCs w:val="20"/>
        </w:rPr>
      </w:pPr>
    </w:p>
    <w:p w:rsidR="00042844" w:rsidRPr="00042844" w:rsidRDefault="00042844" w:rsidP="00042844">
      <w:pPr>
        <w:jc w:val="both"/>
        <w:rPr>
          <w:rFonts w:ascii="Arial" w:hAnsi="Arial" w:cs="Arial"/>
          <w:sz w:val="20"/>
          <w:szCs w:val="20"/>
        </w:rPr>
      </w:pPr>
      <w:r w:rsidRPr="00042844">
        <w:rPr>
          <w:rFonts w:ascii="Arial" w:hAnsi="Arial" w:cs="Arial"/>
          <w:sz w:val="20"/>
          <w:szCs w:val="20"/>
        </w:rPr>
        <w:t>Es un Fideicomiso Público, celebrado mediante contrato el 28 de mayo de 2001, entre el Gobierno del Estado de Sonora, en su carácter de Fideicomitente, Nacional Financiera, SNC. Como Fiduciaria.</w:t>
      </w:r>
    </w:p>
    <w:p w:rsidR="00042844" w:rsidRPr="00042844" w:rsidRDefault="00042844" w:rsidP="00042844">
      <w:pPr>
        <w:jc w:val="both"/>
        <w:rPr>
          <w:rFonts w:ascii="Arial" w:hAnsi="Arial" w:cs="Arial"/>
          <w:sz w:val="20"/>
          <w:szCs w:val="20"/>
        </w:rPr>
      </w:pPr>
      <w:r w:rsidRPr="00042844">
        <w:rPr>
          <w:rFonts w:ascii="Arial" w:hAnsi="Arial" w:cs="Arial"/>
          <w:sz w:val="20"/>
          <w:szCs w:val="20"/>
        </w:rPr>
        <w:t xml:space="preserve"> </w:t>
      </w:r>
    </w:p>
    <w:p w:rsidR="00713060" w:rsidRPr="00581F1F" w:rsidRDefault="00713060" w:rsidP="00713060">
      <w:pPr>
        <w:pStyle w:val="Default"/>
        <w:jc w:val="both"/>
        <w:rPr>
          <w:sz w:val="20"/>
          <w:szCs w:val="20"/>
        </w:rPr>
      </w:pPr>
    </w:p>
    <w:p w:rsidR="00713060" w:rsidRPr="00581F1F" w:rsidRDefault="00713060" w:rsidP="00713060">
      <w:pPr>
        <w:pStyle w:val="Default"/>
        <w:numPr>
          <w:ilvl w:val="0"/>
          <w:numId w:val="31"/>
        </w:numPr>
        <w:jc w:val="both"/>
        <w:rPr>
          <w:b/>
          <w:sz w:val="20"/>
          <w:szCs w:val="20"/>
          <w:u w:val="single"/>
        </w:rPr>
      </w:pPr>
      <w:r w:rsidRPr="00581F1F">
        <w:rPr>
          <w:b/>
          <w:sz w:val="20"/>
          <w:szCs w:val="20"/>
          <w:u w:val="single"/>
        </w:rPr>
        <w:t>Organización y Objeto Social</w:t>
      </w:r>
    </w:p>
    <w:p w:rsidR="00DE67C5" w:rsidRDefault="00713060" w:rsidP="00DE67C5">
      <w:pPr>
        <w:jc w:val="both"/>
        <w:rPr>
          <w:rFonts w:ascii="Arial" w:hAnsi="Arial" w:cs="Arial"/>
          <w:sz w:val="20"/>
          <w:szCs w:val="20"/>
        </w:rPr>
      </w:pPr>
      <w:r w:rsidRPr="00DE67C5">
        <w:rPr>
          <w:sz w:val="20"/>
          <w:szCs w:val="20"/>
          <w:u w:val="single"/>
        </w:rPr>
        <w:t>Objeto social</w:t>
      </w:r>
      <w:r w:rsidRPr="00DE67C5">
        <w:rPr>
          <w:sz w:val="20"/>
          <w:szCs w:val="20"/>
        </w:rPr>
        <w:t>:</w:t>
      </w:r>
      <w:r w:rsidR="00DE67C5" w:rsidRPr="00DE67C5">
        <w:rPr>
          <w:rFonts w:ascii="Arial" w:hAnsi="Arial" w:cs="Arial"/>
          <w:sz w:val="20"/>
          <w:szCs w:val="20"/>
        </w:rPr>
        <w:t xml:space="preserve"> </w:t>
      </w:r>
      <w:r w:rsidR="00DE67C5" w:rsidRPr="00042844">
        <w:rPr>
          <w:rFonts w:ascii="Arial" w:hAnsi="Arial" w:cs="Arial"/>
          <w:sz w:val="20"/>
          <w:szCs w:val="20"/>
        </w:rPr>
        <w:t>AGROSON  tiene como objeto primordial constituir un mecanismo a través del cual se administren los recursos  que integren su patrimonio</w:t>
      </w:r>
      <w:r w:rsidR="00772B68">
        <w:rPr>
          <w:rFonts w:ascii="Arial" w:hAnsi="Arial" w:cs="Arial"/>
          <w:sz w:val="20"/>
          <w:szCs w:val="20"/>
        </w:rPr>
        <w:t>,</w:t>
      </w:r>
      <w:r w:rsidR="00DE67C5">
        <w:rPr>
          <w:rFonts w:ascii="Arial" w:hAnsi="Arial" w:cs="Arial"/>
          <w:sz w:val="20"/>
          <w:szCs w:val="20"/>
        </w:rPr>
        <w:t xml:space="preserve"> </w:t>
      </w:r>
      <w:r w:rsidR="00772B68">
        <w:rPr>
          <w:rFonts w:ascii="Arial" w:hAnsi="Arial" w:cs="Arial"/>
          <w:sz w:val="20"/>
          <w:szCs w:val="20"/>
        </w:rPr>
        <w:t>para</w:t>
      </w:r>
      <w:r w:rsidR="00DE67C5">
        <w:rPr>
          <w:rFonts w:ascii="Arial" w:hAnsi="Arial" w:cs="Arial"/>
          <w:sz w:val="20"/>
          <w:szCs w:val="20"/>
        </w:rPr>
        <w:t xml:space="preserve"> el otorgamiento de garantías al sector agropecuario sonorense. </w:t>
      </w:r>
    </w:p>
    <w:p w:rsidR="00DE67C5" w:rsidRPr="00042844" w:rsidRDefault="00DE67C5" w:rsidP="00DE67C5">
      <w:pPr>
        <w:jc w:val="both"/>
        <w:rPr>
          <w:rFonts w:ascii="Arial" w:hAnsi="Arial" w:cs="Arial"/>
          <w:sz w:val="20"/>
          <w:szCs w:val="20"/>
        </w:rPr>
      </w:pPr>
      <w:r w:rsidRPr="00042844">
        <w:rPr>
          <w:rFonts w:ascii="Arial" w:hAnsi="Arial" w:cs="Arial"/>
          <w:sz w:val="20"/>
          <w:szCs w:val="20"/>
        </w:rPr>
        <w:t xml:space="preserve"> </w:t>
      </w:r>
    </w:p>
    <w:p w:rsidR="00713060" w:rsidRDefault="00713060" w:rsidP="001A2F8A">
      <w:pPr>
        <w:pStyle w:val="Default"/>
        <w:numPr>
          <w:ilvl w:val="0"/>
          <w:numId w:val="32"/>
        </w:numPr>
        <w:jc w:val="both"/>
        <w:rPr>
          <w:sz w:val="20"/>
          <w:szCs w:val="20"/>
        </w:rPr>
      </w:pPr>
      <w:r w:rsidRPr="00DE67C5">
        <w:rPr>
          <w:sz w:val="20"/>
          <w:szCs w:val="20"/>
        </w:rPr>
        <w:t xml:space="preserve"> </w:t>
      </w:r>
      <w:r w:rsidRPr="00DE67C5">
        <w:rPr>
          <w:sz w:val="20"/>
          <w:szCs w:val="20"/>
          <w:u w:val="single"/>
        </w:rPr>
        <w:t>Principales actividades</w:t>
      </w:r>
      <w:r w:rsidRPr="00DE67C5">
        <w:rPr>
          <w:sz w:val="20"/>
          <w:szCs w:val="20"/>
        </w:rPr>
        <w:t>:</w:t>
      </w:r>
    </w:p>
    <w:p w:rsidR="00FF6982" w:rsidRDefault="00FF6982" w:rsidP="00FF6982">
      <w:pPr>
        <w:pStyle w:val="Default"/>
        <w:jc w:val="both"/>
        <w:rPr>
          <w:sz w:val="20"/>
          <w:szCs w:val="20"/>
        </w:rPr>
      </w:pPr>
    </w:p>
    <w:tbl>
      <w:tblPr>
        <w:tblW w:w="0" w:type="auto"/>
        <w:tblInd w:w="354" w:type="dxa"/>
        <w:tblCellMar>
          <w:left w:w="70" w:type="dxa"/>
          <w:right w:w="70" w:type="dxa"/>
        </w:tblCellMar>
        <w:tblLook w:val="04A0" w:firstRow="1" w:lastRow="0" w:firstColumn="1" w:lastColumn="0" w:noHBand="0" w:noVBand="1"/>
      </w:tblPr>
      <w:tblGrid>
        <w:gridCol w:w="10112"/>
      </w:tblGrid>
      <w:tr w:rsidR="00713060" w:rsidRPr="00581F1F" w:rsidTr="00EC7D31">
        <w:trPr>
          <w:trHeight w:val="285"/>
        </w:trPr>
        <w:tc>
          <w:tcPr>
            <w:tcW w:w="0" w:type="auto"/>
            <w:shd w:val="clear" w:color="auto" w:fill="auto"/>
            <w:noWrap/>
            <w:vAlign w:val="bottom"/>
            <w:hideMark/>
          </w:tcPr>
          <w:p w:rsidR="00713060" w:rsidRDefault="00713060" w:rsidP="00772B68">
            <w:pPr>
              <w:jc w:val="both"/>
              <w:rPr>
                <w:rFonts w:ascii="Arial" w:hAnsi="Arial" w:cs="Arial"/>
                <w:color w:val="000000"/>
                <w:sz w:val="20"/>
                <w:szCs w:val="20"/>
                <w:lang w:val="es-MX" w:eastAsia="es-MX"/>
              </w:rPr>
            </w:pPr>
            <w:r w:rsidRPr="00581F1F">
              <w:rPr>
                <w:rFonts w:ascii="Arial" w:hAnsi="Arial" w:cs="Arial"/>
                <w:color w:val="000000"/>
                <w:sz w:val="20"/>
                <w:szCs w:val="20"/>
                <w:lang w:val="es-MX" w:eastAsia="es-MX"/>
              </w:rPr>
              <w:lastRenderedPageBreak/>
              <w:t xml:space="preserve">- Fungir como agente </w:t>
            </w:r>
            <w:r w:rsidR="00FF6982">
              <w:rPr>
                <w:rFonts w:ascii="Arial" w:hAnsi="Arial" w:cs="Arial"/>
                <w:color w:val="000000"/>
                <w:sz w:val="20"/>
                <w:szCs w:val="20"/>
                <w:lang w:val="es-MX" w:eastAsia="es-MX"/>
              </w:rPr>
              <w:t>detonador del sector agropecuario en sonora, mediante el otorgamiento de garantías líquidas y de contingencia.</w:t>
            </w:r>
          </w:p>
          <w:p w:rsidR="00772B68" w:rsidRPr="00581F1F" w:rsidRDefault="00772B68" w:rsidP="00772B68">
            <w:pPr>
              <w:jc w:val="both"/>
              <w:rPr>
                <w:rFonts w:ascii="Arial" w:hAnsi="Arial" w:cs="Arial"/>
                <w:color w:val="000000"/>
                <w:sz w:val="20"/>
                <w:szCs w:val="20"/>
                <w:lang w:val="es-MX" w:eastAsia="es-MX"/>
              </w:rPr>
            </w:pPr>
          </w:p>
        </w:tc>
      </w:tr>
      <w:tr w:rsidR="00713060" w:rsidRPr="00581F1F" w:rsidTr="00EC7D31">
        <w:trPr>
          <w:trHeight w:val="570"/>
        </w:trPr>
        <w:tc>
          <w:tcPr>
            <w:tcW w:w="0" w:type="auto"/>
            <w:shd w:val="clear" w:color="auto" w:fill="auto"/>
            <w:noWrap/>
            <w:vAlign w:val="bottom"/>
            <w:hideMark/>
          </w:tcPr>
          <w:p w:rsidR="00FF6982" w:rsidRDefault="00713060" w:rsidP="00772B68">
            <w:pPr>
              <w:jc w:val="both"/>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Recibir, administrar y enajenar los bienes, derechos, valores y demás activos que </w:t>
            </w:r>
            <w:r w:rsidR="00FF6982">
              <w:rPr>
                <w:rFonts w:ascii="Arial" w:hAnsi="Arial" w:cs="Arial"/>
                <w:color w:val="000000"/>
                <w:sz w:val="20"/>
                <w:szCs w:val="20"/>
                <w:lang w:val="es-MX" w:eastAsia="es-MX"/>
              </w:rPr>
              <w:t>reciba como dación o adjudicación de pago.</w:t>
            </w:r>
          </w:p>
          <w:p w:rsidR="00772B68" w:rsidRPr="00581F1F" w:rsidRDefault="00772B68" w:rsidP="00772B68">
            <w:pPr>
              <w:jc w:val="both"/>
              <w:rPr>
                <w:rFonts w:ascii="Arial" w:hAnsi="Arial" w:cs="Arial"/>
                <w:color w:val="000000"/>
                <w:sz w:val="20"/>
                <w:szCs w:val="20"/>
                <w:lang w:val="es-MX" w:eastAsia="es-MX"/>
              </w:rPr>
            </w:pPr>
          </w:p>
        </w:tc>
      </w:tr>
      <w:tr w:rsidR="00713060" w:rsidRPr="00581F1F" w:rsidTr="00EC7D31">
        <w:trPr>
          <w:trHeight w:val="285"/>
        </w:trPr>
        <w:tc>
          <w:tcPr>
            <w:tcW w:w="0" w:type="auto"/>
            <w:shd w:val="clear" w:color="auto" w:fill="auto"/>
            <w:noWrap/>
            <w:vAlign w:val="bottom"/>
            <w:hideMark/>
          </w:tcPr>
          <w:p w:rsidR="00713060" w:rsidRDefault="00713060" w:rsidP="00713060">
            <w:pPr>
              <w:jc w:val="both"/>
              <w:rPr>
                <w:rFonts w:ascii="Arial" w:hAnsi="Arial" w:cs="Arial"/>
                <w:color w:val="000000"/>
                <w:sz w:val="20"/>
                <w:szCs w:val="20"/>
                <w:lang w:val="es-MX" w:eastAsia="es-MX"/>
              </w:rPr>
            </w:pPr>
            <w:r w:rsidRPr="00581F1F">
              <w:rPr>
                <w:rFonts w:ascii="Arial" w:hAnsi="Arial" w:cs="Arial"/>
                <w:color w:val="000000"/>
                <w:sz w:val="20"/>
                <w:szCs w:val="20"/>
                <w:lang w:val="es-MX" w:eastAsia="es-MX"/>
              </w:rPr>
              <w:t>- Invertir los recursos financieros disponibles en su patrimonio en los instrumentos y valores que produzcan el más alto rendimiento y liquidez posible.</w:t>
            </w:r>
          </w:p>
          <w:p w:rsidR="00772B68" w:rsidRPr="00581F1F" w:rsidRDefault="00772B68" w:rsidP="00713060">
            <w:pPr>
              <w:jc w:val="both"/>
              <w:rPr>
                <w:rFonts w:ascii="Arial" w:hAnsi="Arial" w:cs="Arial"/>
                <w:color w:val="000000"/>
                <w:sz w:val="20"/>
                <w:szCs w:val="20"/>
                <w:lang w:val="es-MX" w:eastAsia="es-MX"/>
              </w:rPr>
            </w:pPr>
          </w:p>
        </w:tc>
      </w:tr>
      <w:tr w:rsidR="00713060" w:rsidRPr="00581F1F" w:rsidTr="00EC7D31">
        <w:trPr>
          <w:trHeight w:val="570"/>
        </w:trPr>
        <w:tc>
          <w:tcPr>
            <w:tcW w:w="0" w:type="auto"/>
            <w:shd w:val="clear" w:color="auto" w:fill="auto"/>
            <w:noWrap/>
            <w:vAlign w:val="bottom"/>
            <w:hideMark/>
          </w:tcPr>
          <w:p w:rsidR="00713060" w:rsidRDefault="00713060" w:rsidP="002A3EF5">
            <w:pPr>
              <w:jc w:val="both"/>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Obtener, administrar y destinar los productos y rendimientos que se obtengan con motivo de la </w:t>
            </w:r>
            <w:r w:rsidR="002A3EF5">
              <w:rPr>
                <w:rFonts w:ascii="Arial" w:hAnsi="Arial" w:cs="Arial"/>
                <w:color w:val="000000"/>
                <w:sz w:val="20"/>
                <w:szCs w:val="20"/>
                <w:lang w:val="es-MX" w:eastAsia="es-MX"/>
              </w:rPr>
              <w:t>expedición de certificados fiduciarios</w:t>
            </w:r>
            <w:r w:rsidRPr="00581F1F">
              <w:rPr>
                <w:rFonts w:ascii="Arial" w:hAnsi="Arial" w:cs="Arial"/>
                <w:color w:val="000000"/>
                <w:sz w:val="20"/>
                <w:szCs w:val="20"/>
                <w:lang w:val="es-MX" w:eastAsia="es-MX"/>
              </w:rPr>
              <w:t>.</w:t>
            </w:r>
          </w:p>
          <w:p w:rsidR="00772B68" w:rsidRPr="00581F1F" w:rsidRDefault="00772B68" w:rsidP="002A3EF5">
            <w:pPr>
              <w:jc w:val="both"/>
              <w:rPr>
                <w:rFonts w:ascii="Arial" w:hAnsi="Arial" w:cs="Arial"/>
                <w:color w:val="000000"/>
                <w:sz w:val="20"/>
                <w:szCs w:val="20"/>
                <w:lang w:val="es-MX" w:eastAsia="es-MX"/>
              </w:rPr>
            </w:pPr>
          </w:p>
        </w:tc>
      </w:tr>
    </w:tbl>
    <w:p w:rsidR="00713060" w:rsidRPr="00581F1F" w:rsidRDefault="00EC7D31" w:rsidP="00713060">
      <w:pPr>
        <w:pStyle w:val="Default"/>
        <w:numPr>
          <w:ilvl w:val="0"/>
          <w:numId w:val="32"/>
        </w:numPr>
        <w:jc w:val="both"/>
        <w:rPr>
          <w:sz w:val="20"/>
          <w:szCs w:val="20"/>
        </w:rPr>
      </w:pPr>
      <w:r w:rsidRPr="00581F1F">
        <w:rPr>
          <w:sz w:val="20"/>
          <w:szCs w:val="20"/>
          <w:u w:val="single"/>
        </w:rPr>
        <w:t>Ejercicio fiscal</w:t>
      </w:r>
      <w:r w:rsidRPr="00581F1F">
        <w:rPr>
          <w:sz w:val="20"/>
          <w:szCs w:val="20"/>
        </w:rPr>
        <w:t>: 20</w:t>
      </w:r>
      <w:r w:rsidR="00FE6AF8">
        <w:rPr>
          <w:sz w:val="20"/>
          <w:szCs w:val="20"/>
        </w:rPr>
        <w:t>2</w:t>
      </w:r>
      <w:r w:rsidR="00B4366A">
        <w:rPr>
          <w:sz w:val="20"/>
          <w:szCs w:val="20"/>
        </w:rPr>
        <w:t>1</w:t>
      </w:r>
    </w:p>
    <w:p w:rsidR="00713060" w:rsidRPr="00581F1F" w:rsidRDefault="00713060" w:rsidP="00713060">
      <w:pPr>
        <w:pStyle w:val="Default"/>
        <w:numPr>
          <w:ilvl w:val="0"/>
          <w:numId w:val="32"/>
        </w:numPr>
        <w:jc w:val="both"/>
        <w:rPr>
          <w:sz w:val="20"/>
          <w:szCs w:val="20"/>
        </w:rPr>
      </w:pPr>
      <w:r w:rsidRPr="00581F1F">
        <w:rPr>
          <w:sz w:val="20"/>
          <w:szCs w:val="20"/>
          <w:u w:val="single"/>
        </w:rPr>
        <w:t>Régimen jurídico</w:t>
      </w:r>
      <w:r w:rsidRPr="00581F1F">
        <w:rPr>
          <w:sz w:val="20"/>
          <w:szCs w:val="20"/>
        </w:rPr>
        <w:t xml:space="preserve">: </w:t>
      </w:r>
      <w:r w:rsidR="001A2438">
        <w:rPr>
          <w:sz w:val="20"/>
          <w:szCs w:val="20"/>
        </w:rPr>
        <w:t>O</w:t>
      </w:r>
      <w:r w:rsidRPr="00581F1F">
        <w:rPr>
          <w:sz w:val="20"/>
          <w:szCs w:val="20"/>
        </w:rPr>
        <w:t xml:space="preserve">rganismo </w:t>
      </w:r>
      <w:r w:rsidR="001A2438">
        <w:rPr>
          <w:sz w:val="20"/>
          <w:szCs w:val="20"/>
        </w:rPr>
        <w:t>P</w:t>
      </w:r>
      <w:r w:rsidRPr="00581F1F">
        <w:rPr>
          <w:sz w:val="20"/>
          <w:szCs w:val="20"/>
        </w:rPr>
        <w:t xml:space="preserve">úblico </w:t>
      </w:r>
      <w:r w:rsidR="001A2438">
        <w:rPr>
          <w:sz w:val="20"/>
          <w:szCs w:val="20"/>
        </w:rPr>
        <w:t>D</w:t>
      </w:r>
      <w:r w:rsidRPr="00581F1F">
        <w:rPr>
          <w:sz w:val="20"/>
          <w:szCs w:val="20"/>
        </w:rPr>
        <w:t>escentralizado</w:t>
      </w:r>
      <w:r w:rsidR="001A2438">
        <w:rPr>
          <w:sz w:val="20"/>
          <w:szCs w:val="20"/>
        </w:rPr>
        <w:t>,</w:t>
      </w:r>
      <w:r w:rsidRPr="00581F1F">
        <w:rPr>
          <w:sz w:val="20"/>
          <w:szCs w:val="20"/>
        </w:rPr>
        <w:t xml:space="preserve"> sectorizado a la Secretaría de </w:t>
      </w:r>
      <w:r w:rsidR="001A2438">
        <w:rPr>
          <w:sz w:val="20"/>
          <w:szCs w:val="20"/>
        </w:rPr>
        <w:t>Agricultura, Ganadería, Recursos Hidráulicos, Pesca  y Agricultura</w:t>
      </w:r>
      <w:r w:rsidRPr="00581F1F">
        <w:rPr>
          <w:sz w:val="20"/>
          <w:szCs w:val="20"/>
        </w:rPr>
        <w:t>, con personalidad jurídica y patrimonio propios</w:t>
      </w:r>
    </w:p>
    <w:p w:rsidR="00713060" w:rsidRPr="00581F1F" w:rsidRDefault="00713060" w:rsidP="00713060">
      <w:pPr>
        <w:pStyle w:val="Default"/>
        <w:numPr>
          <w:ilvl w:val="0"/>
          <w:numId w:val="32"/>
        </w:numPr>
        <w:jc w:val="both"/>
        <w:rPr>
          <w:sz w:val="20"/>
          <w:szCs w:val="20"/>
        </w:rPr>
      </w:pPr>
      <w:r w:rsidRPr="00581F1F">
        <w:rPr>
          <w:sz w:val="20"/>
          <w:szCs w:val="20"/>
          <w:u w:val="single"/>
        </w:rPr>
        <w:t>Consideraciones fiscales del ente</w:t>
      </w:r>
      <w:r w:rsidRPr="00581F1F">
        <w:rPr>
          <w:sz w:val="20"/>
          <w:szCs w:val="20"/>
        </w:rPr>
        <w:t>:</w:t>
      </w:r>
    </w:p>
    <w:p w:rsidR="001A2438" w:rsidRDefault="00713060" w:rsidP="00EC7D31">
      <w:pPr>
        <w:pStyle w:val="Default"/>
        <w:ind w:left="360"/>
        <w:jc w:val="both"/>
        <w:rPr>
          <w:sz w:val="20"/>
          <w:szCs w:val="20"/>
        </w:rPr>
      </w:pPr>
      <w:r w:rsidRPr="00581F1F">
        <w:rPr>
          <w:sz w:val="20"/>
          <w:szCs w:val="20"/>
        </w:rPr>
        <w:t>La Entidad se encuentra registrada como Administración pública estatal en general</w:t>
      </w:r>
      <w:r w:rsidR="001A2438">
        <w:rPr>
          <w:sz w:val="20"/>
          <w:szCs w:val="20"/>
        </w:rPr>
        <w:t>.</w:t>
      </w:r>
    </w:p>
    <w:p w:rsidR="00631B78" w:rsidRPr="00581F1F" w:rsidRDefault="00713060" w:rsidP="00EC7D31">
      <w:pPr>
        <w:pStyle w:val="Default"/>
        <w:ind w:left="360"/>
        <w:jc w:val="both"/>
        <w:rPr>
          <w:sz w:val="20"/>
          <w:szCs w:val="20"/>
        </w:rPr>
      </w:pPr>
      <w:r w:rsidRPr="00581F1F">
        <w:rPr>
          <w:sz w:val="20"/>
          <w:szCs w:val="20"/>
        </w:rPr>
        <w:t xml:space="preserve"> </w:t>
      </w:r>
    </w:p>
    <w:p w:rsidR="008E3343" w:rsidRPr="00581F1F" w:rsidRDefault="008E3343" w:rsidP="008E3343">
      <w:pPr>
        <w:pStyle w:val="Default"/>
        <w:numPr>
          <w:ilvl w:val="0"/>
          <w:numId w:val="32"/>
        </w:numPr>
        <w:jc w:val="both"/>
        <w:rPr>
          <w:sz w:val="20"/>
          <w:szCs w:val="20"/>
        </w:rPr>
      </w:pPr>
      <w:r w:rsidRPr="00407DFD">
        <w:rPr>
          <w:sz w:val="20"/>
          <w:szCs w:val="20"/>
          <w:u w:val="single"/>
        </w:rPr>
        <w:t>Estructura organizacional básica</w:t>
      </w:r>
      <w:r w:rsidRPr="00581F1F">
        <w:rPr>
          <w:sz w:val="20"/>
          <w:szCs w:val="20"/>
        </w:rPr>
        <w:t xml:space="preserve">: </w:t>
      </w:r>
      <w:r w:rsidR="001A2438">
        <w:rPr>
          <w:sz w:val="20"/>
          <w:szCs w:val="20"/>
        </w:rPr>
        <w:t xml:space="preserve">El Fideicomiso cuenta con un Órgano de Gobierno constituido por un Comité Técnico que </w:t>
      </w:r>
      <w:r w:rsidRPr="00581F1F">
        <w:rPr>
          <w:sz w:val="20"/>
          <w:szCs w:val="20"/>
        </w:rPr>
        <w:t xml:space="preserve">se contempla en el artículo </w:t>
      </w:r>
      <w:r w:rsidR="0062440F">
        <w:rPr>
          <w:sz w:val="20"/>
          <w:szCs w:val="20"/>
        </w:rPr>
        <w:t>4</w:t>
      </w:r>
      <w:r w:rsidRPr="00581F1F">
        <w:rPr>
          <w:sz w:val="20"/>
          <w:szCs w:val="20"/>
        </w:rPr>
        <w:t xml:space="preserve">° del Decreto de creación del </w:t>
      </w:r>
      <w:r w:rsidR="0062440F">
        <w:rPr>
          <w:sz w:val="20"/>
          <w:szCs w:val="20"/>
        </w:rPr>
        <w:t>AGROSON</w:t>
      </w:r>
      <w:r w:rsidRPr="00581F1F">
        <w:rPr>
          <w:sz w:val="20"/>
          <w:szCs w:val="20"/>
        </w:rPr>
        <w:t xml:space="preserve"> publicado el </w:t>
      </w:r>
      <w:r w:rsidR="0062440F">
        <w:rPr>
          <w:sz w:val="20"/>
          <w:szCs w:val="20"/>
        </w:rPr>
        <w:t>24</w:t>
      </w:r>
      <w:r w:rsidRPr="00581F1F">
        <w:rPr>
          <w:sz w:val="20"/>
          <w:szCs w:val="20"/>
        </w:rPr>
        <w:t xml:space="preserve"> de </w:t>
      </w:r>
      <w:r w:rsidR="0062440F">
        <w:rPr>
          <w:sz w:val="20"/>
          <w:szCs w:val="20"/>
        </w:rPr>
        <w:t>mayo</w:t>
      </w:r>
      <w:r w:rsidRPr="00581F1F">
        <w:rPr>
          <w:sz w:val="20"/>
          <w:szCs w:val="20"/>
        </w:rPr>
        <w:t xml:space="preserve"> de 200</w:t>
      </w:r>
      <w:r w:rsidR="0062440F">
        <w:rPr>
          <w:sz w:val="20"/>
          <w:szCs w:val="20"/>
        </w:rPr>
        <w:t>1</w:t>
      </w:r>
      <w:r w:rsidRPr="00581F1F">
        <w:rPr>
          <w:sz w:val="20"/>
          <w:szCs w:val="20"/>
        </w:rPr>
        <w:t xml:space="preserve"> en el Boletín Oficial del Gobierno del Estado de Sonora N°. </w:t>
      </w:r>
      <w:r w:rsidR="0062440F">
        <w:rPr>
          <w:sz w:val="20"/>
          <w:szCs w:val="20"/>
        </w:rPr>
        <w:t>42</w:t>
      </w:r>
      <w:r w:rsidRPr="00581F1F">
        <w:rPr>
          <w:sz w:val="20"/>
          <w:szCs w:val="20"/>
        </w:rPr>
        <w:t xml:space="preserve">, Sección </w:t>
      </w:r>
      <w:r w:rsidR="0062440F">
        <w:rPr>
          <w:sz w:val="20"/>
          <w:szCs w:val="20"/>
        </w:rPr>
        <w:t>I</w:t>
      </w:r>
      <w:r w:rsidRPr="00581F1F">
        <w:rPr>
          <w:sz w:val="20"/>
          <w:szCs w:val="20"/>
        </w:rPr>
        <w:t>I.</w:t>
      </w:r>
    </w:p>
    <w:p w:rsidR="005F3445" w:rsidRPr="00581F1F" w:rsidRDefault="005F3445" w:rsidP="005F3445">
      <w:pPr>
        <w:pStyle w:val="Default"/>
        <w:ind w:left="360"/>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Bases de preparación de los Estados Financieros</w:t>
      </w:r>
    </w:p>
    <w:p w:rsidR="008E3343" w:rsidRPr="00581F1F" w:rsidRDefault="008E3343" w:rsidP="008E3343">
      <w:pPr>
        <w:pStyle w:val="Default"/>
        <w:jc w:val="both"/>
        <w:rPr>
          <w:sz w:val="20"/>
          <w:szCs w:val="20"/>
        </w:rPr>
      </w:pPr>
      <w:r w:rsidRPr="00581F1F">
        <w:rPr>
          <w:sz w:val="20"/>
          <w:szCs w:val="20"/>
        </w:rPr>
        <w:t>Los Estados Financieros se han elaborado observando las normas emitidas por el Consejo Nacional de Armonización Contable en el Manual de Contabilidad Gubernamental y las disposiciones legales aplicables.</w:t>
      </w:r>
    </w:p>
    <w:p w:rsidR="008E3343" w:rsidRPr="00581F1F" w:rsidRDefault="008E3343" w:rsidP="008E3343">
      <w:pPr>
        <w:pStyle w:val="Default"/>
        <w:jc w:val="both"/>
        <w:rPr>
          <w:sz w:val="20"/>
          <w:szCs w:val="20"/>
        </w:rPr>
      </w:pPr>
    </w:p>
    <w:p w:rsidR="008E3343" w:rsidRPr="00581F1F" w:rsidRDefault="008E3343" w:rsidP="008E3343">
      <w:pPr>
        <w:pStyle w:val="Default"/>
        <w:jc w:val="both"/>
        <w:rPr>
          <w:sz w:val="20"/>
          <w:szCs w:val="20"/>
        </w:rPr>
      </w:pPr>
      <w:r w:rsidRPr="00581F1F">
        <w:rPr>
          <w:sz w:val="20"/>
          <w:szCs w:val="20"/>
        </w:rPr>
        <w:t>El reconocimiento, valuación y revaluación, se realizó considerando que todos los eventos que afecten económicamente al ente público deben ser cuantificados en términos monetarios y se registrarán al costo histórico o al valor económico más objetivo registrándose en moneda nacional.</w:t>
      </w:r>
    </w:p>
    <w:p w:rsidR="008E3343" w:rsidRPr="00581F1F" w:rsidRDefault="008E3343" w:rsidP="008E3343">
      <w:pPr>
        <w:pStyle w:val="Default"/>
        <w:jc w:val="both"/>
        <w:rPr>
          <w:sz w:val="20"/>
          <w:szCs w:val="20"/>
        </w:rPr>
      </w:pPr>
    </w:p>
    <w:p w:rsidR="008E3343" w:rsidRPr="00581F1F" w:rsidRDefault="008E3343" w:rsidP="008E3343">
      <w:pPr>
        <w:pStyle w:val="Default"/>
        <w:jc w:val="both"/>
        <w:rPr>
          <w:sz w:val="20"/>
          <w:szCs w:val="20"/>
        </w:rPr>
      </w:pPr>
      <w:r w:rsidRPr="00581F1F">
        <w:rPr>
          <w:sz w:val="20"/>
          <w:szCs w:val="20"/>
        </w:rPr>
        <w:t>Los estados financieros fueron preparados en apega a los Postulados Básicos de Contabilidad Gubernamental emitidos por el Consejo Nacional de Armonización Contable.</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Políticas de Contabilidad Significativas</w:t>
      </w:r>
    </w:p>
    <w:p w:rsidR="008E3343" w:rsidRPr="00581F1F" w:rsidRDefault="008E3343" w:rsidP="008E3343">
      <w:pPr>
        <w:pStyle w:val="Default"/>
        <w:numPr>
          <w:ilvl w:val="0"/>
          <w:numId w:val="33"/>
        </w:numPr>
        <w:jc w:val="both"/>
        <w:rPr>
          <w:sz w:val="20"/>
          <w:szCs w:val="20"/>
        </w:rPr>
      </w:pPr>
      <w:r w:rsidRPr="00581F1F">
        <w:rPr>
          <w:sz w:val="20"/>
          <w:szCs w:val="20"/>
        </w:rPr>
        <w:t>Operaciones en el extranjero: La Entidad no realiza operaciones en el extranjero.</w:t>
      </w:r>
    </w:p>
    <w:p w:rsidR="005A7E66" w:rsidRPr="00D92E5D" w:rsidRDefault="008E3343" w:rsidP="005A7E66">
      <w:pPr>
        <w:pStyle w:val="Default"/>
        <w:numPr>
          <w:ilvl w:val="0"/>
          <w:numId w:val="33"/>
        </w:numPr>
        <w:jc w:val="both"/>
        <w:rPr>
          <w:sz w:val="20"/>
          <w:szCs w:val="20"/>
        </w:rPr>
      </w:pPr>
      <w:r w:rsidRPr="00581F1F">
        <w:rPr>
          <w:sz w:val="20"/>
          <w:szCs w:val="20"/>
        </w:rPr>
        <w:t>Método de valuación de la inversión en acciones de Compañías subsidiarias y no consolidadas y asociadas: La Entidad no cuenta con inver</w:t>
      </w:r>
      <w:r w:rsidR="00EC7D31" w:rsidRPr="00581F1F">
        <w:rPr>
          <w:sz w:val="20"/>
          <w:szCs w:val="20"/>
        </w:rPr>
        <w:t>s</w:t>
      </w:r>
      <w:r w:rsidRPr="00581F1F">
        <w:rPr>
          <w:sz w:val="20"/>
          <w:szCs w:val="20"/>
        </w:rPr>
        <w:t>iones en acciones en compañías subsid</w:t>
      </w:r>
      <w:r w:rsidR="00EC7D31" w:rsidRPr="00581F1F">
        <w:rPr>
          <w:sz w:val="20"/>
          <w:szCs w:val="20"/>
        </w:rPr>
        <w:t>i</w:t>
      </w:r>
      <w:r w:rsidRPr="00581F1F">
        <w:rPr>
          <w:sz w:val="20"/>
          <w:szCs w:val="20"/>
        </w:rPr>
        <w:t>arias, no consolidadas y asociadas.</w:t>
      </w:r>
    </w:p>
    <w:p w:rsidR="008E3343" w:rsidRPr="00581F1F" w:rsidRDefault="008E3343" w:rsidP="008E3343">
      <w:pPr>
        <w:pStyle w:val="Default"/>
        <w:numPr>
          <w:ilvl w:val="0"/>
          <w:numId w:val="33"/>
        </w:numPr>
        <w:jc w:val="both"/>
        <w:rPr>
          <w:sz w:val="20"/>
          <w:szCs w:val="20"/>
        </w:rPr>
      </w:pPr>
      <w:r w:rsidRPr="00581F1F">
        <w:rPr>
          <w:sz w:val="20"/>
          <w:szCs w:val="20"/>
        </w:rPr>
        <w:t>Sistema y método de valuación de inventarios y costo de lo vendido: La Entidad no cuenta con inventarios, por lo tanto no maneja un sistema y método de valuación de los mismos.</w:t>
      </w:r>
    </w:p>
    <w:p w:rsidR="008E3343" w:rsidRPr="00581F1F" w:rsidRDefault="008E3343" w:rsidP="008E3343">
      <w:pPr>
        <w:pStyle w:val="Default"/>
        <w:numPr>
          <w:ilvl w:val="0"/>
          <w:numId w:val="33"/>
        </w:numPr>
        <w:jc w:val="both"/>
        <w:rPr>
          <w:sz w:val="20"/>
          <w:szCs w:val="20"/>
        </w:rPr>
      </w:pPr>
      <w:r w:rsidRPr="00581F1F">
        <w:rPr>
          <w:sz w:val="20"/>
          <w:szCs w:val="20"/>
        </w:rPr>
        <w:t xml:space="preserve">Beneficios a Empleados: No se registran Pasivos Laborales, ya que </w:t>
      </w:r>
      <w:r w:rsidR="005E17EB">
        <w:rPr>
          <w:sz w:val="20"/>
          <w:szCs w:val="20"/>
        </w:rPr>
        <w:t xml:space="preserve">el personal que labora en el Fideicomiso </w:t>
      </w:r>
      <w:r w:rsidR="00772B68">
        <w:rPr>
          <w:sz w:val="20"/>
          <w:szCs w:val="20"/>
        </w:rPr>
        <w:t xml:space="preserve">se contrata </w:t>
      </w:r>
      <w:r w:rsidR="005E17EB">
        <w:rPr>
          <w:sz w:val="20"/>
          <w:szCs w:val="20"/>
        </w:rPr>
        <w:t xml:space="preserve"> en la modalidad de honorarios profesionales. </w:t>
      </w:r>
    </w:p>
    <w:p w:rsidR="008E3343" w:rsidRPr="00581F1F" w:rsidRDefault="008E3343" w:rsidP="008E3343">
      <w:pPr>
        <w:pStyle w:val="Default"/>
        <w:numPr>
          <w:ilvl w:val="0"/>
          <w:numId w:val="33"/>
        </w:numPr>
        <w:jc w:val="both"/>
        <w:rPr>
          <w:sz w:val="20"/>
          <w:szCs w:val="20"/>
        </w:rPr>
      </w:pPr>
      <w:r w:rsidRPr="00581F1F">
        <w:rPr>
          <w:sz w:val="20"/>
          <w:szCs w:val="20"/>
        </w:rPr>
        <w:t>Provisiones: No se registran provisiones en la Entidad.</w:t>
      </w:r>
    </w:p>
    <w:p w:rsidR="008E3343" w:rsidRPr="00581F1F" w:rsidRDefault="008E3343" w:rsidP="008E3343">
      <w:pPr>
        <w:pStyle w:val="Default"/>
        <w:numPr>
          <w:ilvl w:val="0"/>
          <w:numId w:val="33"/>
        </w:numPr>
        <w:jc w:val="both"/>
        <w:rPr>
          <w:sz w:val="20"/>
          <w:szCs w:val="20"/>
        </w:rPr>
      </w:pPr>
      <w:r w:rsidRPr="00581F1F">
        <w:rPr>
          <w:sz w:val="20"/>
          <w:szCs w:val="20"/>
        </w:rPr>
        <w:t xml:space="preserve">Reservas: </w:t>
      </w:r>
      <w:r w:rsidR="005E17EB">
        <w:rPr>
          <w:sz w:val="20"/>
          <w:szCs w:val="20"/>
        </w:rPr>
        <w:t xml:space="preserve">Mensualmente se crea una reserva por el 10% del resultado  del mes en curso. </w:t>
      </w:r>
    </w:p>
    <w:p w:rsidR="008E3343" w:rsidRPr="00581F1F" w:rsidRDefault="008E3343" w:rsidP="008E3343">
      <w:pPr>
        <w:pStyle w:val="Default"/>
        <w:numPr>
          <w:ilvl w:val="0"/>
          <w:numId w:val="33"/>
        </w:numPr>
        <w:jc w:val="both"/>
        <w:rPr>
          <w:sz w:val="20"/>
          <w:szCs w:val="20"/>
        </w:rPr>
      </w:pPr>
      <w:r w:rsidRPr="00581F1F">
        <w:rPr>
          <w:sz w:val="20"/>
          <w:szCs w:val="20"/>
        </w:rPr>
        <w:t>Cambios en políticas contables: En la Entidad no se han registrado cambios significativos en la política contable.</w:t>
      </w:r>
    </w:p>
    <w:p w:rsidR="008E3343" w:rsidRPr="00581F1F" w:rsidRDefault="008E3343" w:rsidP="008E3343">
      <w:pPr>
        <w:pStyle w:val="Default"/>
        <w:numPr>
          <w:ilvl w:val="0"/>
          <w:numId w:val="33"/>
        </w:numPr>
        <w:jc w:val="both"/>
        <w:rPr>
          <w:sz w:val="20"/>
          <w:szCs w:val="20"/>
        </w:rPr>
      </w:pPr>
      <w:r w:rsidRPr="00581F1F">
        <w:rPr>
          <w:sz w:val="20"/>
          <w:szCs w:val="20"/>
        </w:rPr>
        <w:t>Reclasificaciones: En la Entidad no se han registrado reclasificaciones.</w:t>
      </w:r>
    </w:p>
    <w:p w:rsidR="008E3343" w:rsidRPr="00581F1F" w:rsidRDefault="008E3343" w:rsidP="008E3343">
      <w:pPr>
        <w:pStyle w:val="Default"/>
        <w:numPr>
          <w:ilvl w:val="0"/>
          <w:numId w:val="33"/>
        </w:numPr>
        <w:jc w:val="both"/>
        <w:rPr>
          <w:sz w:val="20"/>
          <w:szCs w:val="20"/>
        </w:rPr>
      </w:pPr>
      <w:r w:rsidRPr="00581F1F">
        <w:rPr>
          <w:sz w:val="20"/>
          <w:szCs w:val="20"/>
        </w:rPr>
        <w:t xml:space="preserve">Depuraciones y cancelación de saldos: En la Entidad </w:t>
      </w:r>
      <w:r w:rsidR="005E17EB">
        <w:rPr>
          <w:sz w:val="20"/>
          <w:szCs w:val="20"/>
        </w:rPr>
        <w:t>se revisa y coteja con las instituciones financieras el estatus de los certificados de garantía otorgados para su depuración contable.</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Posición en Moneda extranjera y protección por riesgos cambiarios</w:t>
      </w:r>
    </w:p>
    <w:p w:rsidR="008E3343" w:rsidRPr="00581F1F" w:rsidRDefault="008E3343" w:rsidP="008E3343">
      <w:pPr>
        <w:pStyle w:val="Default"/>
        <w:jc w:val="both"/>
        <w:rPr>
          <w:sz w:val="20"/>
          <w:szCs w:val="20"/>
        </w:rPr>
      </w:pPr>
      <w:r w:rsidRPr="00581F1F">
        <w:rPr>
          <w:sz w:val="20"/>
          <w:szCs w:val="20"/>
        </w:rPr>
        <w:t>La Entidad no cuenta con cuentas de cheques, inversiones, pasivos, entre otros, en moneda extranjera.</w:t>
      </w:r>
    </w:p>
    <w:p w:rsidR="008E3343" w:rsidRDefault="008E3343" w:rsidP="008E3343">
      <w:pPr>
        <w:pStyle w:val="Default"/>
        <w:jc w:val="both"/>
        <w:rPr>
          <w:sz w:val="20"/>
          <w:szCs w:val="20"/>
        </w:rPr>
      </w:pPr>
    </w:p>
    <w:p w:rsidR="00631B78" w:rsidRDefault="00631B78" w:rsidP="008E3343">
      <w:pPr>
        <w:pStyle w:val="Default"/>
        <w:jc w:val="both"/>
        <w:rPr>
          <w:sz w:val="20"/>
          <w:szCs w:val="20"/>
        </w:rPr>
      </w:pPr>
    </w:p>
    <w:p w:rsidR="00334008" w:rsidRPr="00581F1F" w:rsidRDefault="00334008"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Reporte Analítico de Activo</w:t>
      </w:r>
    </w:p>
    <w:p w:rsidR="008E3343" w:rsidRDefault="008E3343" w:rsidP="008E3343">
      <w:pPr>
        <w:pStyle w:val="Default"/>
        <w:numPr>
          <w:ilvl w:val="0"/>
          <w:numId w:val="34"/>
        </w:numPr>
        <w:jc w:val="both"/>
        <w:rPr>
          <w:sz w:val="20"/>
          <w:szCs w:val="20"/>
        </w:rPr>
      </w:pPr>
      <w:r w:rsidRPr="00581F1F">
        <w:rPr>
          <w:sz w:val="20"/>
          <w:szCs w:val="20"/>
        </w:rPr>
        <w:t xml:space="preserve">Vida útil o porcentaje de depreciación, deterioro o amortización utilizado por los diferentes tipos de activos. En las Reglas Específicas del Registro y Valoración del Patrimonio emitidas por el Consejo Nacional de Armonización Contable, se definió como vida útil de un activo, al período durante el que se espera utilizar el </w:t>
      </w:r>
      <w:r w:rsidRPr="00581F1F">
        <w:rPr>
          <w:sz w:val="20"/>
          <w:szCs w:val="20"/>
        </w:rPr>
        <w:lastRenderedPageBreak/>
        <w:t>activo por parte del ente público. Con base en estas reglas, la Entidad determinó que sus bienes tiene una vida útil, por lo cual éstos se deprecian.</w:t>
      </w:r>
    </w:p>
    <w:p w:rsidR="008E3343" w:rsidRPr="00581F1F" w:rsidRDefault="008E3343" w:rsidP="008E3343">
      <w:pPr>
        <w:pStyle w:val="Default"/>
        <w:numPr>
          <w:ilvl w:val="0"/>
          <w:numId w:val="34"/>
        </w:numPr>
        <w:jc w:val="both"/>
        <w:rPr>
          <w:sz w:val="20"/>
          <w:szCs w:val="20"/>
        </w:rPr>
      </w:pPr>
      <w:r w:rsidRPr="00581F1F">
        <w:rPr>
          <w:sz w:val="20"/>
          <w:szCs w:val="20"/>
        </w:rPr>
        <w:t>Cambios en el porcentaje de depreciación o valor residual de los activos. La Entidad no tiene cambios en los porcentajes, según las Reglas Específicas del Registro y Valoración del Patrimonio emitidas por el CONAC.</w:t>
      </w:r>
    </w:p>
    <w:p w:rsidR="008E3343" w:rsidRPr="00581F1F" w:rsidRDefault="008E3343" w:rsidP="008E3343">
      <w:pPr>
        <w:pStyle w:val="Default"/>
        <w:numPr>
          <w:ilvl w:val="0"/>
          <w:numId w:val="34"/>
        </w:numPr>
        <w:jc w:val="both"/>
        <w:rPr>
          <w:sz w:val="20"/>
          <w:szCs w:val="20"/>
        </w:rPr>
      </w:pPr>
      <w:r w:rsidRPr="00581F1F">
        <w:rPr>
          <w:sz w:val="20"/>
          <w:szCs w:val="20"/>
        </w:rPr>
        <w:t>Importe de gastos de capitalización en el ejercicio. No se realizaron gastos de capitalización en este ejercicio.</w:t>
      </w:r>
    </w:p>
    <w:p w:rsidR="008E3343" w:rsidRPr="00581F1F" w:rsidRDefault="008E3343" w:rsidP="008E3343">
      <w:pPr>
        <w:pStyle w:val="Default"/>
        <w:numPr>
          <w:ilvl w:val="0"/>
          <w:numId w:val="34"/>
        </w:numPr>
        <w:jc w:val="both"/>
        <w:rPr>
          <w:sz w:val="20"/>
          <w:szCs w:val="20"/>
        </w:rPr>
      </w:pPr>
      <w:r w:rsidRPr="00581F1F">
        <w:rPr>
          <w:sz w:val="20"/>
          <w:szCs w:val="20"/>
        </w:rPr>
        <w:t>Riesgos por tipo de cambio o por tipo de interés de inversiones financieras. No se cuenta con inversiones financieras en moneda extranjera.</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 xml:space="preserve">Fideicomisos, </w:t>
      </w:r>
      <w:r w:rsidR="00F31859" w:rsidRPr="00581F1F">
        <w:rPr>
          <w:b/>
          <w:sz w:val="20"/>
          <w:szCs w:val="20"/>
          <w:u w:val="single"/>
        </w:rPr>
        <w:t>Mandatos</w:t>
      </w:r>
      <w:r w:rsidRPr="00581F1F">
        <w:rPr>
          <w:b/>
          <w:sz w:val="20"/>
          <w:szCs w:val="20"/>
          <w:u w:val="single"/>
        </w:rPr>
        <w:t xml:space="preserve"> y Análogos</w:t>
      </w:r>
    </w:p>
    <w:p w:rsidR="008E3343" w:rsidRDefault="008E3343" w:rsidP="008E3343">
      <w:pPr>
        <w:pStyle w:val="Default"/>
        <w:jc w:val="both"/>
        <w:rPr>
          <w:sz w:val="20"/>
          <w:szCs w:val="20"/>
        </w:rPr>
      </w:pPr>
      <w:r w:rsidRPr="00581F1F">
        <w:rPr>
          <w:sz w:val="20"/>
          <w:szCs w:val="20"/>
        </w:rPr>
        <w:t xml:space="preserve">No cuenta la Entidad con Fideicomisos, </w:t>
      </w:r>
      <w:r w:rsidR="00F31859" w:rsidRPr="00581F1F">
        <w:rPr>
          <w:sz w:val="20"/>
          <w:szCs w:val="20"/>
        </w:rPr>
        <w:t>Mandatos</w:t>
      </w:r>
      <w:r w:rsidRPr="00581F1F">
        <w:rPr>
          <w:sz w:val="20"/>
          <w:szCs w:val="20"/>
        </w:rPr>
        <w:t xml:space="preserve"> y </w:t>
      </w:r>
      <w:r w:rsidR="00F31859" w:rsidRPr="00581F1F">
        <w:rPr>
          <w:sz w:val="20"/>
          <w:szCs w:val="20"/>
        </w:rPr>
        <w:t>Análogos</w:t>
      </w:r>
      <w:r w:rsidRPr="00581F1F">
        <w:rPr>
          <w:sz w:val="20"/>
          <w:szCs w:val="20"/>
        </w:rPr>
        <w:t xml:space="preserve"> al </w:t>
      </w:r>
      <w:r w:rsidR="00AF1858">
        <w:rPr>
          <w:sz w:val="20"/>
          <w:szCs w:val="20"/>
        </w:rPr>
        <w:t>3</w:t>
      </w:r>
      <w:r w:rsidR="00526843">
        <w:rPr>
          <w:sz w:val="20"/>
          <w:szCs w:val="20"/>
        </w:rPr>
        <w:t>0</w:t>
      </w:r>
      <w:r w:rsidRPr="00581F1F">
        <w:rPr>
          <w:sz w:val="20"/>
          <w:szCs w:val="20"/>
        </w:rPr>
        <w:t xml:space="preserve"> de </w:t>
      </w:r>
      <w:r w:rsidR="00FC55A3">
        <w:rPr>
          <w:sz w:val="20"/>
          <w:szCs w:val="20"/>
        </w:rPr>
        <w:t>septiembre</w:t>
      </w:r>
      <w:r w:rsidRPr="00581F1F">
        <w:rPr>
          <w:sz w:val="20"/>
          <w:szCs w:val="20"/>
        </w:rPr>
        <w:t xml:space="preserve"> de 20</w:t>
      </w:r>
      <w:r w:rsidR="007A45A6">
        <w:rPr>
          <w:sz w:val="20"/>
          <w:szCs w:val="20"/>
        </w:rPr>
        <w:t>2</w:t>
      </w:r>
      <w:r w:rsidR="00B4366A">
        <w:rPr>
          <w:sz w:val="20"/>
          <w:szCs w:val="20"/>
        </w:rPr>
        <w:t>1</w:t>
      </w:r>
      <w:r w:rsidRPr="00581F1F">
        <w:rPr>
          <w:sz w:val="20"/>
          <w:szCs w:val="20"/>
        </w:rPr>
        <w:t>.</w:t>
      </w:r>
    </w:p>
    <w:p w:rsidR="002C24E7" w:rsidRPr="00581F1F" w:rsidRDefault="002C24E7"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Reporte de recaudación</w:t>
      </w:r>
    </w:p>
    <w:p w:rsidR="00492A27" w:rsidRPr="00581F1F" w:rsidRDefault="008E3343" w:rsidP="00492A27">
      <w:pPr>
        <w:pStyle w:val="Default"/>
        <w:numPr>
          <w:ilvl w:val="0"/>
          <w:numId w:val="35"/>
        </w:numPr>
        <w:jc w:val="both"/>
        <w:rPr>
          <w:b/>
          <w:sz w:val="20"/>
          <w:szCs w:val="20"/>
          <w:u w:val="single"/>
        </w:rPr>
      </w:pPr>
      <w:r w:rsidRPr="00581F1F">
        <w:rPr>
          <w:sz w:val="20"/>
          <w:szCs w:val="20"/>
        </w:rPr>
        <w:t xml:space="preserve">Análisis del comportamiento de la recaudación: Los Ingresos obtenidos fueron de </w:t>
      </w:r>
      <w:r w:rsidRPr="00D366E5">
        <w:rPr>
          <w:sz w:val="20"/>
          <w:szCs w:val="20"/>
        </w:rPr>
        <w:t>$</w:t>
      </w:r>
      <w:r w:rsidR="00FC55A3">
        <w:rPr>
          <w:sz w:val="20"/>
          <w:szCs w:val="20"/>
        </w:rPr>
        <w:t>4</w:t>
      </w:r>
      <w:bookmarkStart w:id="0" w:name="_GoBack"/>
      <w:bookmarkEnd w:id="0"/>
      <w:r w:rsidR="00334008" w:rsidRPr="00D366E5">
        <w:rPr>
          <w:sz w:val="20"/>
          <w:szCs w:val="20"/>
        </w:rPr>
        <w:t>´</w:t>
      </w:r>
      <w:r w:rsidR="00FC55A3">
        <w:rPr>
          <w:sz w:val="20"/>
          <w:szCs w:val="20"/>
        </w:rPr>
        <w:t>455</w:t>
      </w:r>
      <w:r w:rsidR="00334008" w:rsidRPr="00D366E5">
        <w:rPr>
          <w:sz w:val="20"/>
          <w:szCs w:val="20"/>
        </w:rPr>
        <w:t>,</w:t>
      </w:r>
      <w:r w:rsidR="00FC55A3">
        <w:rPr>
          <w:sz w:val="20"/>
          <w:szCs w:val="20"/>
        </w:rPr>
        <w:t>531</w:t>
      </w:r>
      <w:r w:rsidRPr="00581F1F">
        <w:rPr>
          <w:sz w:val="20"/>
          <w:szCs w:val="20"/>
        </w:rPr>
        <w:t xml:space="preserve"> que se integran por </w:t>
      </w:r>
      <w:r w:rsidR="005E17EB">
        <w:rPr>
          <w:sz w:val="20"/>
          <w:szCs w:val="20"/>
        </w:rPr>
        <w:t>Comisiones</w:t>
      </w:r>
      <w:r w:rsidRPr="00581F1F">
        <w:rPr>
          <w:sz w:val="20"/>
          <w:szCs w:val="20"/>
        </w:rPr>
        <w:t xml:space="preserve">, </w:t>
      </w:r>
      <w:r w:rsidR="005E17EB">
        <w:rPr>
          <w:sz w:val="20"/>
          <w:szCs w:val="20"/>
        </w:rPr>
        <w:t>Intereses y rendimientos financieros</w:t>
      </w:r>
      <w:r w:rsidR="00D92E5D">
        <w:rPr>
          <w:sz w:val="20"/>
          <w:szCs w:val="20"/>
        </w:rPr>
        <w:t xml:space="preserve"> principalmente</w:t>
      </w:r>
      <w:r w:rsidR="00492A27" w:rsidRPr="00581F1F">
        <w:rPr>
          <w:sz w:val="20"/>
          <w:szCs w:val="20"/>
        </w:rPr>
        <w:t>.</w:t>
      </w:r>
    </w:p>
    <w:p w:rsidR="00492A27" w:rsidRPr="00581F1F" w:rsidRDefault="00492A27" w:rsidP="00492A27">
      <w:pPr>
        <w:pStyle w:val="Default"/>
        <w:ind w:left="720"/>
        <w:jc w:val="both"/>
        <w:rPr>
          <w:b/>
          <w:sz w:val="20"/>
          <w:szCs w:val="20"/>
          <w:u w:val="single"/>
        </w:rPr>
      </w:pPr>
    </w:p>
    <w:p w:rsidR="008E3343" w:rsidRPr="00581F1F" w:rsidRDefault="00492A27" w:rsidP="00492A27">
      <w:pPr>
        <w:pStyle w:val="Default"/>
        <w:numPr>
          <w:ilvl w:val="0"/>
          <w:numId w:val="35"/>
        </w:numPr>
        <w:jc w:val="both"/>
        <w:rPr>
          <w:b/>
          <w:sz w:val="20"/>
          <w:szCs w:val="20"/>
          <w:u w:val="single"/>
        </w:rPr>
      </w:pPr>
      <w:r w:rsidRPr="00581F1F">
        <w:rPr>
          <w:b/>
          <w:sz w:val="20"/>
          <w:szCs w:val="20"/>
          <w:u w:val="single"/>
        </w:rPr>
        <w:t xml:space="preserve"> </w:t>
      </w:r>
      <w:r w:rsidR="008E3343" w:rsidRPr="00581F1F">
        <w:rPr>
          <w:b/>
          <w:sz w:val="20"/>
          <w:szCs w:val="20"/>
          <w:u w:val="single"/>
        </w:rPr>
        <w:t>Información sobre la Deuda y el Reporte Analítico de la Deuda</w:t>
      </w:r>
    </w:p>
    <w:p w:rsidR="008E3343" w:rsidRPr="00581F1F" w:rsidRDefault="008E3343" w:rsidP="008E3343">
      <w:pPr>
        <w:pStyle w:val="Default"/>
        <w:jc w:val="both"/>
        <w:rPr>
          <w:sz w:val="20"/>
          <w:szCs w:val="20"/>
        </w:rPr>
      </w:pPr>
      <w:r w:rsidRPr="00581F1F">
        <w:rPr>
          <w:sz w:val="20"/>
          <w:szCs w:val="20"/>
        </w:rPr>
        <w:t>La Entidad no cuenta con Deuda Pública</w:t>
      </w:r>
      <w:r w:rsidR="00D92E5D">
        <w:rPr>
          <w:sz w:val="20"/>
          <w:szCs w:val="20"/>
        </w:rPr>
        <w:t xml:space="preserve"> al </w:t>
      </w:r>
      <w:r w:rsidR="007A63AA">
        <w:rPr>
          <w:sz w:val="20"/>
          <w:szCs w:val="20"/>
        </w:rPr>
        <w:t>3</w:t>
      </w:r>
      <w:r w:rsidR="00526843">
        <w:rPr>
          <w:sz w:val="20"/>
          <w:szCs w:val="20"/>
        </w:rPr>
        <w:t>0</w:t>
      </w:r>
      <w:r w:rsidR="00D92E5D">
        <w:rPr>
          <w:sz w:val="20"/>
          <w:szCs w:val="20"/>
        </w:rPr>
        <w:t xml:space="preserve"> de </w:t>
      </w:r>
      <w:r w:rsidR="00FC55A3">
        <w:rPr>
          <w:sz w:val="20"/>
          <w:szCs w:val="20"/>
        </w:rPr>
        <w:t>septiembre</w:t>
      </w:r>
      <w:r w:rsidR="00D92E5D">
        <w:rPr>
          <w:sz w:val="20"/>
          <w:szCs w:val="20"/>
        </w:rPr>
        <w:t xml:space="preserve"> de 20</w:t>
      </w:r>
      <w:r w:rsidR="00FE6AF8">
        <w:rPr>
          <w:sz w:val="20"/>
          <w:szCs w:val="20"/>
        </w:rPr>
        <w:t>2</w:t>
      </w:r>
      <w:r w:rsidR="00B4366A">
        <w:rPr>
          <w:sz w:val="20"/>
          <w:szCs w:val="20"/>
        </w:rPr>
        <w:t>1</w:t>
      </w:r>
      <w:r w:rsidRPr="00581F1F">
        <w:rPr>
          <w:sz w:val="20"/>
          <w:szCs w:val="20"/>
        </w:rPr>
        <w:t>.</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Calificaciones otorgadas</w:t>
      </w:r>
    </w:p>
    <w:p w:rsidR="008E3343" w:rsidRPr="00581F1F" w:rsidRDefault="008E3343" w:rsidP="008E3343">
      <w:pPr>
        <w:pStyle w:val="Default"/>
        <w:jc w:val="both"/>
        <w:rPr>
          <w:sz w:val="20"/>
          <w:szCs w:val="20"/>
        </w:rPr>
      </w:pPr>
      <w:r w:rsidRPr="00581F1F">
        <w:rPr>
          <w:sz w:val="20"/>
          <w:szCs w:val="20"/>
        </w:rPr>
        <w:t xml:space="preserve">La Entidad no cuenta con calificaciones otorgadas al </w:t>
      </w:r>
      <w:r w:rsidR="007E372B">
        <w:rPr>
          <w:sz w:val="20"/>
          <w:szCs w:val="20"/>
        </w:rPr>
        <w:t>3</w:t>
      </w:r>
      <w:r w:rsidR="00526843">
        <w:rPr>
          <w:sz w:val="20"/>
          <w:szCs w:val="20"/>
        </w:rPr>
        <w:t>0</w:t>
      </w:r>
      <w:r w:rsidRPr="00581F1F">
        <w:rPr>
          <w:sz w:val="20"/>
          <w:szCs w:val="20"/>
        </w:rPr>
        <w:t xml:space="preserve"> de </w:t>
      </w:r>
      <w:r w:rsidR="00FC55A3">
        <w:rPr>
          <w:sz w:val="20"/>
          <w:szCs w:val="20"/>
        </w:rPr>
        <w:t>septiembre</w:t>
      </w:r>
      <w:r w:rsidR="00F12366" w:rsidRPr="00581F1F">
        <w:rPr>
          <w:sz w:val="20"/>
          <w:szCs w:val="20"/>
        </w:rPr>
        <w:t xml:space="preserve"> de 20</w:t>
      </w:r>
      <w:r w:rsidR="00FE6AF8">
        <w:rPr>
          <w:sz w:val="20"/>
          <w:szCs w:val="20"/>
        </w:rPr>
        <w:t>2</w:t>
      </w:r>
      <w:r w:rsidR="00B4366A">
        <w:rPr>
          <w:sz w:val="20"/>
          <w:szCs w:val="20"/>
        </w:rPr>
        <w:t>1</w:t>
      </w:r>
      <w:r w:rsidRPr="00581F1F">
        <w:rPr>
          <w:sz w:val="20"/>
          <w:szCs w:val="20"/>
        </w:rPr>
        <w:t>.</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Proceso de Mejora</w:t>
      </w:r>
    </w:p>
    <w:p w:rsidR="008E3343" w:rsidRPr="00581F1F" w:rsidRDefault="008E3343" w:rsidP="008E3343">
      <w:pPr>
        <w:pStyle w:val="Default"/>
        <w:jc w:val="both"/>
        <w:rPr>
          <w:sz w:val="20"/>
          <w:szCs w:val="20"/>
        </w:rPr>
      </w:pPr>
      <w:r w:rsidRPr="00581F1F">
        <w:rPr>
          <w:sz w:val="20"/>
          <w:szCs w:val="20"/>
        </w:rPr>
        <w:t xml:space="preserve">La Entidad se sometió a lo dispuesto en el Acuerdo por el que se emiten las Medidas y Lineamientos de Reducción, Eficiencia y Transparencia del Gasto Público del Estado de Sonora, el cual promueve el uso eficiente y eficaz de los recursos públicos de las Dependencias y Entidades, </w:t>
      </w:r>
      <w:r w:rsidR="008919AF">
        <w:rPr>
          <w:sz w:val="20"/>
          <w:szCs w:val="20"/>
        </w:rPr>
        <w:t xml:space="preserve">bajo los </w:t>
      </w:r>
      <w:r w:rsidRPr="00581F1F">
        <w:rPr>
          <w:sz w:val="20"/>
          <w:szCs w:val="20"/>
        </w:rPr>
        <w:t>criterios de racionalidad, austeridad y disciplina presupuestal.</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Infor</w:t>
      </w:r>
      <w:r w:rsidRPr="008919AF">
        <w:rPr>
          <w:b/>
          <w:sz w:val="20"/>
          <w:szCs w:val="20"/>
          <w:u w:val="single"/>
        </w:rPr>
        <w:t>mación</w:t>
      </w:r>
      <w:r w:rsidRPr="00581F1F">
        <w:rPr>
          <w:b/>
          <w:sz w:val="20"/>
          <w:szCs w:val="20"/>
          <w:u w:val="single"/>
        </w:rPr>
        <w:t xml:space="preserve"> por segmentos</w:t>
      </w:r>
    </w:p>
    <w:p w:rsidR="008E3343" w:rsidRPr="00581F1F" w:rsidRDefault="008E3343" w:rsidP="008E3343">
      <w:pPr>
        <w:pStyle w:val="Default"/>
        <w:jc w:val="both"/>
        <w:rPr>
          <w:sz w:val="20"/>
          <w:szCs w:val="20"/>
        </w:rPr>
      </w:pPr>
      <w:r w:rsidRPr="00581F1F">
        <w:rPr>
          <w:sz w:val="20"/>
          <w:szCs w:val="20"/>
        </w:rPr>
        <w:t xml:space="preserve">La Entidad  informa por </w:t>
      </w:r>
      <w:r w:rsidR="008919AF">
        <w:rPr>
          <w:sz w:val="20"/>
          <w:szCs w:val="20"/>
        </w:rPr>
        <w:t xml:space="preserve">conducto de </w:t>
      </w:r>
      <w:r w:rsidR="00127C22">
        <w:rPr>
          <w:sz w:val="20"/>
          <w:szCs w:val="20"/>
        </w:rPr>
        <w:t xml:space="preserve">la </w:t>
      </w:r>
      <w:r w:rsidR="008919AF" w:rsidRPr="00581F1F">
        <w:rPr>
          <w:sz w:val="20"/>
          <w:szCs w:val="20"/>
        </w:rPr>
        <w:t xml:space="preserve">Secretaría de </w:t>
      </w:r>
      <w:r w:rsidR="008919AF">
        <w:rPr>
          <w:sz w:val="20"/>
          <w:szCs w:val="20"/>
        </w:rPr>
        <w:t>Agricultura, Ganadería, Recursos Hidráulicos, Pesca  y Agricultura</w:t>
      </w:r>
      <w:r w:rsidR="008919AF" w:rsidRPr="00581F1F">
        <w:rPr>
          <w:sz w:val="20"/>
          <w:szCs w:val="20"/>
        </w:rPr>
        <w:t>,</w:t>
      </w:r>
      <w:r w:rsidR="008919AF">
        <w:rPr>
          <w:sz w:val="20"/>
          <w:szCs w:val="20"/>
        </w:rPr>
        <w:t xml:space="preserve"> como cabeza de sector. </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Eventos posteriores al cierre</w:t>
      </w:r>
    </w:p>
    <w:p w:rsidR="008E3343" w:rsidRPr="00581F1F" w:rsidRDefault="008E3343" w:rsidP="008E3343">
      <w:pPr>
        <w:pStyle w:val="Default"/>
        <w:jc w:val="both"/>
        <w:rPr>
          <w:sz w:val="20"/>
          <w:szCs w:val="20"/>
        </w:rPr>
      </w:pPr>
      <w:r w:rsidRPr="00581F1F">
        <w:rPr>
          <w:sz w:val="20"/>
          <w:szCs w:val="20"/>
        </w:rPr>
        <w:t xml:space="preserve">No hay eventos posteriores al cierre que afecten significativamente los estados financieros al </w:t>
      </w:r>
      <w:r w:rsidR="00AF1858">
        <w:rPr>
          <w:sz w:val="20"/>
          <w:szCs w:val="20"/>
        </w:rPr>
        <w:t>3</w:t>
      </w:r>
      <w:r w:rsidR="00526843">
        <w:rPr>
          <w:sz w:val="20"/>
          <w:szCs w:val="20"/>
        </w:rPr>
        <w:t>0</w:t>
      </w:r>
      <w:r w:rsidRPr="00581F1F">
        <w:rPr>
          <w:sz w:val="20"/>
          <w:szCs w:val="20"/>
        </w:rPr>
        <w:t xml:space="preserve"> de </w:t>
      </w:r>
      <w:r w:rsidR="00526843">
        <w:rPr>
          <w:sz w:val="20"/>
          <w:szCs w:val="20"/>
        </w:rPr>
        <w:t>junio</w:t>
      </w:r>
      <w:r w:rsidR="00F12366" w:rsidRPr="00581F1F">
        <w:rPr>
          <w:sz w:val="20"/>
          <w:szCs w:val="20"/>
        </w:rPr>
        <w:t xml:space="preserve"> </w:t>
      </w:r>
      <w:r w:rsidRPr="00581F1F">
        <w:rPr>
          <w:sz w:val="20"/>
          <w:szCs w:val="20"/>
        </w:rPr>
        <w:t>de 20</w:t>
      </w:r>
      <w:r w:rsidR="00FE6AF8">
        <w:rPr>
          <w:sz w:val="20"/>
          <w:szCs w:val="20"/>
        </w:rPr>
        <w:t>2</w:t>
      </w:r>
      <w:r w:rsidR="00B4366A">
        <w:rPr>
          <w:sz w:val="20"/>
          <w:szCs w:val="20"/>
        </w:rPr>
        <w:t>1</w:t>
      </w:r>
      <w:r w:rsidRPr="00581F1F">
        <w:rPr>
          <w:sz w:val="20"/>
          <w:szCs w:val="20"/>
        </w:rPr>
        <w:t>.</w:t>
      </w:r>
    </w:p>
    <w:p w:rsidR="005A7E66" w:rsidRPr="00581F1F" w:rsidRDefault="005A7E66"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Partes relacionadas</w:t>
      </w:r>
    </w:p>
    <w:p w:rsidR="008E3343" w:rsidRPr="00581F1F" w:rsidRDefault="008E3343" w:rsidP="008E3343">
      <w:pPr>
        <w:pStyle w:val="Default"/>
        <w:jc w:val="both"/>
        <w:rPr>
          <w:sz w:val="20"/>
          <w:szCs w:val="20"/>
        </w:rPr>
      </w:pPr>
      <w:r w:rsidRPr="00581F1F">
        <w:rPr>
          <w:sz w:val="20"/>
          <w:szCs w:val="20"/>
        </w:rPr>
        <w:t>No existen Partes Relacionadas que pudieran ejercer influencia significativa sobre la toma de decisiones financieras y operativas.</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Responsabilidad sobre la Presentación Razonable de la Información contable</w:t>
      </w:r>
    </w:p>
    <w:p w:rsidR="008E3343" w:rsidRPr="00581F1F" w:rsidRDefault="008E3343" w:rsidP="008E3343">
      <w:pPr>
        <w:pStyle w:val="Default"/>
        <w:jc w:val="both"/>
        <w:rPr>
          <w:sz w:val="20"/>
          <w:szCs w:val="20"/>
        </w:rPr>
      </w:pPr>
      <w:r w:rsidRPr="00581F1F">
        <w:rPr>
          <w:sz w:val="20"/>
          <w:szCs w:val="20"/>
        </w:rPr>
        <w:t>Bajo protesta de decir verdad declaramos que los Estados Financieros y sus notas, son razonablemente correctos y son responsabilidad del emisor</w:t>
      </w:r>
    </w:p>
    <w:p w:rsidR="00103B44" w:rsidRPr="00581F1F" w:rsidRDefault="00103B44" w:rsidP="008E3343">
      <w:pPr>
        <w:pStyle w:val="Default"/>
        <w:jc w:val="both"/>
        <w:rPr>
          <w:sz w:val="20"/>
          <w:szCs w:val="20"/>
        </w:rPr>
      </w:pPr>
    </w:p>
    <w:p w:rsidR="00103B44" w:rsidRPr="00581F1F" w:rsidRDefault="00103B44" w:rsidP="008E3343">
      <w:pPr>
        <w:pStyle w:val="Default"/>
        <w:jc w:val="both"/>
        <w:rPr>
          <w:sz w:val="20"/>
          <w:szCs w:val="20"/>
        </w:rPr>
      </w:pPr>
    </w:p>
    <w:p w:rsidR="005F3445" w:rsidRPr="005F3445" w:rsidRDefault="00D750F3" w:rsidP="008E3343">
      <w:pPr>
        <w:pStyle w:val="Default"/>
        <w:jc w:val="both"/>
        <w:rPr>
          <w:sz w:val="20"/>
          <w:szCs w:val="20"/>
        </w:rPr>
      </w:pPr>
      <w:r w:rsidRPr="00581F1F">
        <w:rPr>
          <w:noProof/>
          <w:lang w:eastAsia="es-MX"/>
        </w:rPr>
        <mc:AlternateContent>
          <mc:Choice Requires="wps">
            <w:drawing>
              <wp:anchor distT="0" distB="0" distL="114300" distR="114300" simplePos="0" relativeHeight="251660288" behindDoc="0" locked="0" layoutInCell="1" allowOverlap="1" wp14:anchorId="5757F16D" wp14:editId="63D5C354">
                <wp:simplePos x="0" y="0"/>
                <wp:positionH relativeFrom="column">
                  <wp:posOffset>3420110</wp:posOffset>
                </wp:positionH>
                <wp:positionV relativeFrom="paragraph">
                  <wp:posOffset>364490</wp:posOffset>
                </wp:positionV>
                <wp:extent cx="2857500" cy="628650"/>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2857500" cy="628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2392F" w:rsidRDefault="0002392F" w:rsidP="005F3445">
                            <w:pPr>
                              <w:pStyle w:val="NormalWeb"/>
                              <w:spacing w:before="0" w:beforeAutospacing="0" w:after="0" w:afterAutospacing="0"/>
                            </w:pPr>
                            <w:r>
                              <w:rPr>
                                <w:rFonts w:ascii="Arial" w:hAnsi="Arial" w:cs="Arial"/>
                                <w:color w:val="000000" w:themeColor="dark1"/>
                                <w:sz w:val="20"/>
                                <w:szCs w:val="20"/>
                              </w:rPr>
                              <w:t>_____________________________________</w:t>
                            </w:r>
                          </w:p>
                          <w:p w:rsidR="0002392F" w:rsidRDefault="0002392F" w:rsidP="005F3445">
                            <w:pPr>
                              <w:pStyle w:val="NormalWeb"/>
                              <w:spacing w:before="0" w:beforeAutospacing="0" w:after="0" w:afterAutospacing="0"/>
                              <w:jc w:val="center"/>
                            </w:pPr>
                            <w:r>
                              <w:rPr>
                                <w:rFonts w:ascii="Arial" w:hAnsi="Arial" w:cs="Arial"/>
                                <w:color w:val="000000" w:themeColor="dark1"/>
                                <w:sz w:val="20"/>
                                <w:szCs w:val="20"/>
                              </w:rPr>
                              <w:t>J. Manuel Maldonado Maciel</w:t>
                            </w:r>
                          </w:p>
                          <w:p w:rsidR="0002392F" w:rsidRDefault="0002392F" w:rsidP="005F3445">
                            <w:pPr>
                              <w:pStyle w:val="NormalWeb"/>
                              <w:spacing w:before="0" w:beforeAutospacing="0" w:after="0" w:afterAutospacing="0"/>
                              <w:jc w:val="center"/>
                            </w:pPr>
                            <w:r>
                              <w:rPr>
                                <w:rFonts w:ascii="Arial" w:hAnsi="Arial" w:cs="Arial"/>
                                <w:color w:val="000000" w:themeColor="dark1"/>
                                <w:sz w:val="20"/>
                                <w:szCs w:val="20"/>
                              </w:rPr>
                              <w:t>Departamento de Contabilidad</w:t>
                            </w:r>
                          </w:p>
                        </w:txbxContent>
                      </wps:txbx>
                      <wps:bodyPr vertOverflow="clip" horzOverflow="clip" wrap="square" rtlCol="0" anchor="t"/>
                    </wps:wsp>
                  </a:graphicData>
                </a:graphic>
              </wp:anchor>
            </w:drawing>
          </mc:Choice>
          <mc:Fallback>
            <w:pict>
              <v:shapetype w14:anchorId="5757F16D" id="_x0000_t202" coordsize="21600,21600" o:spt="202" path="m,l,21600r21600,l21600,xe">
                <v:stroke joinstyle="miter"/>
                <v:path gradientshapeok="t" o:connecttype="rect"/>
              </v:shapetype>
              <v:shape id="5 CuadroTexto" o:spid="_x0000_s1026" type="#_x0000_t202" style="position:absolute;left:0;text-align:left;margin-left:269.3pt;margin-top:28.7pt;width:22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" filled="f" stroked="f">
                <v:textbox>
                  <w:txbxContent>
                    <w:p w:rsidR="0002392F" w:rsidRDefault="0002392F" w:rsidP="005F3445">
                      <w:pPr>
                        <w:pStyle w:val="NormalWeb"/>
                        <w:spacing w:before="0" w:beforeAutospacing="0" w:after="0" w:afterAutospacing="0"/>
                      </w:pPr>
                      <w:r>
                        <w:rPr>
                          <w:rFonts w:ascii="Arial" w:hAnsi="Arial" w:cs="Arial"/>
                          <w:color w:val="000000" w:themeColor="dark1"/>
                          <w:sz w:val="20"/>
                          <w:szCs w:val="20"/>
                        </w:rPr>
                        <w:t>_____________________________________</w:t>
                      </w:r>
                    </w:p>
                    <w:p w:rsidR="0002392F" w:rsidRDefault="0002392F" w:rsidP="005F3445">
                      <w:pPr>
                        <w:pStyle w:val="NormalWeb"/>
                        <w:spacing w:before="0" w:beforeAutospacing="0" w:after="0" w:afterAutospacing="0"/>
                        <w:jc w:val="center"/>
                      </w:pPr>
                      <w:r>
                        <w:rPr>
                          <w:rFonts w:ascii="Arial" w:hAnsi="Arial" w:cs="Arial"/>
                          <w:color w:val="000000" w:themeColor="dark1"/>
                          <w:sz w:val="20"/>
                          <w:szCs w:val="20"/>
                        </w:rPr>
                        <w:t>J. Manuel Maldonado Maciel</w:t>
                      </w:r>
                    </w:p>
                    <w:p w:rsidR="0002392F" w:rsidRDefault="0002392F" w:rsidP="005F3445">
                      <w:pPr>
                        <w:pStyle w:val="NormalWeb"/>
                        <w:spacing w:before="0" w:beforeAutospacing="0" w:after="0" w:afterAutospacing="0"/>
                        <w:jc w:val="center"/>
                      </w:pPr>
                      <w:r>
                        <w:rPr>
                          <w:rFonts w:ascii="Arial" w:hAnsi="Arial" w:cs="Arial"/>
                          <w:color w:val="000000" w:themeColor="dark1"/>
                          <w:sz w:val="20"/>
                          <w:szCs w:val="20"/>
                        </w:rPr>
                        <w:t>Departamento de Contabilidad</w:t>
                      </w:r>
                    </w:p>
                  </w:txbxContent>
                </v:textbox>
              </v:shape>
            </w:pict>
          </mc:Fallback>
        </mc:AlternateContent>
      </w:r>
      <w:r w:rsidRPr="00581F1F">
        <w:rPr>
          <w:noProof/>
          <w:lang w:eastAsia="es-MX"/>
        </w:rPr>
        <mc:AlternateContent>
          <mc:Choice Requires="wps">
            <w:drawing>
              <wp:anchor distT="0" distB="0" distL="114300" distR="114300" simplePos="0" relativeHeight="251659264" behindDoc="0" locked="0" layoutInCell="1" allowOverlap="1" wp14:anchorId="1AB35A77" wp14:editId="6DA23EC0">
                <wp:simplePos x="0" y="0"/>
                <wp:positionH relativeFrom="column">
                  <wp:posOffset>313055</wp:posOffset>
                </wp:positionH>
                <wp:positionV relativeFrom="paragraph">
                  <wp:posOffset>377277</wp:posOffset>
                </wp:positionV>
                <wp:extent cx="2857500" cy="628650"/>
                <wp:effectExtent l="0" t="0" r="0" b="0"/>
                <wp:wrapNone/>
                <wp:docPr id="5" name="4 CuadroTexto"/>
                <wp:cNvGraphicFramePr/>
                <a:graphic xmlns:a="http://schemas.openxmlformats.org/drawingml/2006/main">
                  <a:graphicData uri="http://schemas.microsoft.com/office/word/2010/wordprocessingShape">
                    <wps:wsp>
                      <wps:cNvSpPr txBox="1"/>
                      <wps:spPr>
                        <a:xfrm>
                          <a:off x="0" y="0"/>
                          <a:ext cx="2857500" cy="628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2392F" w:rsidRDefault="0002392F" w:rsidP="005F3445">
                            <w:pPr>
                              <w:pStyle w:val="NormalWeb"/>
                              <w:spacing w:before="0" w:beforeAutospacing="0" w:after="0" w:afterAutospacing="0"/>
                            </w:pPr>
                            <w:r>
                              <w:rPr>
                                <w:rFonts w:ascii="Arial" w:hAnsi="Arial" w:cs="Arial"/>
                                <w:color w:val="000000" w:themeColor="dark1"/>
                                <w:sz w:val="20"/>
                                <w:szCs w:val="20"/>
                              </w:rPr>
                              <w:t>_____________________________________</w:t>
                            </w:r>
                          </w:p>
                          <w:p w:rsidR="0002392F" w:rsidRDefault="0002392F" w:rsidP="005F3445">
                            <w:pPr>
                              <w:pStyle w:val="NormalWeb"/>
                              <w:spacing w:before="0" w:beforeAutospacing="0" w:after="0" w:afterAutospacing="0"/>
                              <w:jc w:val="center"/>
                            </w:pPr>
                            <w:r>
                              <w:rPr>
                                <w:rFonts w:ascii="Arial" w:hAnsi="Arial" w:cs="Arial"/>
                                <w:color w:val="000000" w:themeColor="dark1"/>
                                <w:sz w:val="20"/>
                                <w:szCs w:val="20"/>
                              </w:rPr>
                              <w:t>Ing. Daniel Ibarra Guerra</w:t>
                            </w:r>
                          </w:p>
                          <w:p w:rsidR="0002392F" w:rsidRDefault="0002392F" w:rsidP="005F3445">
                            <w:pPr>
                              <w:pStyle w:val="NormalWeb"/>
                              <w:spacing w:before="0" w:beforeAutospacing="0" w:after="0" w:afterAutospacing="0"/>
                              <w:jc w:val="center"/>
                            </w:pPr>
                            <w:r>
                              <w:rPr>
                                <w:rFonts w:ascii="Arial" w:hAnsi="Arial" w:cs="Arial"/>
                                <w:color w:val="000000" w:themeColor="dark1"/>
                                <w:sz w:val="20"/>
                                <w:szCs w:val="20"/>
                              </w:rPr>
                              <w:t>Secretario Ejecutivo</w:t>
                            </w:r>
                          </w:p>
                        </w:txbxContent>
                      </wps:txbx>
                      <wps:bodyPr vertOverflow="clip" horzOverflow="clip" wrap="square" rtlCol="0" anchor="t"/>
                    </wps:wsp>
                  </a:graphicData>
                </a:graphic>
              </wp:anchor>
            </w:drawing>
          </mc:Choice>
          <mc:Fallback>
            <w:pict>
              <v:shape w14:anchorId="1AB35A77" id="4 CuadroTexto" o:spid="_x0000_s1027" type="#_x0000_t202" style="position:absolute;left:0;text-align:left;margin-left:24.65pt;margin-top:29.7pt;width:2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" filled="f" stroked="f">
                <v:textbox>
                  <w:txbxContent>
                    <w:p w:rsidR="0002392F" w:rsidRDefault="0002392F" w:rsidP="005F3445">
                      <w:pPr>
                        <w:pStyle w:val="NormalWeb"/>
                        <w:spacing w:before="0" w:beforeAutospacing="0" w:after="0" w:afterAutospacing="0"/>
                      </w:pPr>
                      <w:r>
                        <w:rPr>
                          <w:rFonts w:ascii="Arial" w:hAnsi="Arial" w:cs="Arial"/>
                          <w:color w:val="000000" w:themeColor="dark1"/>
                          <w:sz w:val="20"/>
                          <w:szCs w:val="20"/>
                        </w:rPr>
                        <w:t>_____________________________________</w:t>
                      </w:r>
                    </w:p>
                    <w:p w:rsidR="0002392F" w:rsidRDefault="0002392F" w:rsidP="005F3445">
                      <w:pPr>
                        <w:pStyle w:val="NormalWeb"/>
                        <w:spacing w:before="0" w:beforeAutospacing="0" w:after="0" w:afterAutospacing="0"/>
                        <w:jc w:val="center"/>
                      </w:pPr>
                      <w:r>
                        <w:rPr>
                          <w:rFonts w:ascii="Arial" w:hAnsi="Arial" w:cs="Arial"/>
                          <w:color w:val="000000" w:themeColor="dark1"/>
                          <w:sz w:val="20"/>
                          <w:szCs w:val="20"/>
                        </w:rPr>
                        <w:t>Ing. Daniel Ibarra Guerra</w:t>
                      </w:r>
                    </w:p>
                    <w:p w:rsidR="0002392F" w:rsidRDefault="0002392F" w:rsidP="005F3445">
                      <w:pPr>
                        <w:pStyle w:val="NormalWeb"/>
                        <w:spacing w:before="0" w:beforeAutospacing="0" w:after="0" w:afterAutospacing="0"/>
                        <w:jc w:val="center"/>
                      </w:pPr>
                      <w:r>
                        <w:rPr>
                          <w:rFonts w:ascii="Arial" w:hAnsi="Arial" w:cs="Arial"/>
                          <w:color w:val="000000" w:themeColor="dark1"/>
                          <w:sz w:val="20"/>
                          <w:szCs w:val="20"/>
                        </w:rPr>
                        <w:t>Secretario Ejecutivo</w:t>
                      </w:r>
                    </w:p>
                  </w:txbxContent>
                </v:textbox>
              </v:shape>
            </w:pict>
          </mc:Fallback>
        </mc:AlternateContent>
      </w:r>
    </w:p>
    <w:sectPr w:rsidR="005F3445" w:rsidRPr="005F3445" w:rsidSect="001053CE">
      <w:headerReference w:type="default" r:id="rId12"/>
      <w:footerReference w:type="default" r:id="rId13"/>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9A" w:rsidRDefault="0041719A" w:rsidP="00AE0A10">
      <w:r>
        <w:separator/>
      </w:r>
    </w:p>
  </w:endnote>
  <w:endnote w:type="continuationSeparator" w:id="0">
    <w:p w:rsidR="0041719A" w:rsidRDefault="0041719A" w:rsidP="00AE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83080292"/>
      <w:docPartObj>
        <w:docPartGallery w:val="Page Numbers (Bottom of Page)"/>
        <w:docPartUnique/>
      </w:docPartObj>
    </w:sdtPr>
    <w:sdtContent>
      <w:sdt>
        <w:sdtPr>
          <w:rPr>
            <w:rFonts w:ascii="Arial" w:hAnsi="Arial" w:cs="Arial"/>
            <w:sz w:val="20"/>
            <w:szCs w:val="20"/>
          </w:rPr>
          <w:id w:val="-1973366197"/>
          <w:docPartObj>
            <w:docPartGallery w:val="Page Numbers (Top of Page)"/>
            <w:docPartUnique/>
          </w:docPartObj>
        </w:sdtPr>
        <w:sdtContent>
          <w:p w:rsidR="0002392F" w:rsidRPr="005F3445" w:rsidRDefault="0002392F">
            <w:pPr>
              <w:pStyle w:val="Piedepgina"/>
              <w:jc w:val="right"/>
              <w:rPr>
                <w:rFonts w:ascii="Arial" w:hAnsi="Arial" w:cs="Arial"/>
                <w:sz w:val="20"/>
                <w:szCs w:val="20"/>
              </w:rPr>
            </w:pPr>
            <w:r w:rsidRPr="005F3445">
              <w:rPr>
                <w:rFonts w:ascii="Arial" w:hAnsi="Arial" w:cs="Arial"/>
                <w:sz w:val="20"/>
                <w:szCs w:val="20"/>
              </w:rPr>
              <w:t xml:space="preserve">Hoja </w:t>
            </w:r>
            <w:r w:rsidRPr="005F3445">
              <w:rPr>
                <w:rFonts w:ascii="Arial" w:hAnsi="Arial" w:cs="Arial"/>
                <w:b/>
                <w:bCs/>
                <w:sz w:val="20"/>
                <w:szCs w:val="20"/>
              </w:rPr>
              <w:fldChar w:fldCharType="begin"/>
            </w:r>
            <w:r w:rsidRPr="005F3445">
              <w:rPr>
                <w:rFonts w:ascii="Arial" w:hAnsi="Arial" w:cs="Arial"/>
                <w:b/>
                <w:bCs/>
                <w:sz w:val="20"/>
                <w:szCs w:val="20"/>
              </w:rPr>
              <w:instrText>PAGE</w:instrText>
            </w:r>
            <w:r w:rsidRPr="005F3445">
              <w:rPr>
                <w:rFonts w:ascii="Arial" w:hAnsi="Arial" w:cs="Arial"/>
                <w:b/>
                <w:bCs/>
                <w:sz w:val="20"/>
                <w:szCs w:val="20"/>
              </w:rPr>
              <w:fldChar w:fldCharType="separate"/>
            </w:r>
            <w:r w:rsidR="00C82CDD">
              <w:rPr>
                <w:rFonts w:ascii="Arial" w:hAnsi="Arial" w:cs="Arial"/>
                <w:b/>
                <w:bCs/>
                <w:noProof/>
                <w:sz w:val="20"/>
                <w:szCs w:val="20"/>
              </w:rPr>
              <w:t>10</w:t>
            </w:r>
            <w:r w:rsidRPr="005F3445">
              <w:rPr>
                <w:rFonts w:ascii="Arial" w:hAnsi="Arial" w:cs="Arial"/>
                <w:b/>
                <w:bCs/>
                <w:sz w:val="20"/>
                <w:szCs w:val="20"/>
              </w:rPr>
              <w:fldChar w:fldCharType="end"/>
            </w:r>
            <w:r w:rsidRPr="005F3445">
              <w:rPr>
                <w:rFonts w:ascii="Arial" w:hAnsi="Arial" w:cs="Arial"/>
                <w:sz w:val="20"/>
                <w:szCs w:val="20"/>
              </w:rPr>
              <w:t xml:space="preserve"> de </w:t>
            </w:r>
            <w:r w:rsidRPr="005F3445">
              <w:rPr>
                <w:rFonts w:ascii="Arial" w:hAnsi="Arial" w:cs="Arial"/>
                <w:b/>
                <w:bCs/>
                <w:sz w:val="20"/>
                <w:szCs w:val="20"/>
              </w:rPr>
              <w:fldChar w:fldCharType="begin"/>
            </w:r>
            <w:r w:rsidRPr="005F3445">
              <w:rPr>
                <w:rFonts w:ascii="Arial" w:hAnsi="Arial" w:cs="Arial"/>
                <w:b/>
                <w:bCs/>
                <w:sz w:val="20"/>
                <w:szCs w:val="20"/>
              </w:rPr>
              <w:instrText>NUMPAGES</w:instrText>
            </w:r>
            <w:r w:rsidRPr="005F3445">
              <w:rPr>
                <w:rFonts w:ascii="Arial" w:hAnsi="Arial" w:cs="Arial"/>
                <w:b/>
                <w:bCs/>
                <w:sz w:val="20"/>
                <w:szCs w:val="20"/>
              </w:rPr>
              <w:fldChar w:fldCharType="separate"/>
            </w:r>
            <w:r w:rsidR="00C82CDD">
              <w:rPr>
                <w:rFonts w:ascii="Arial" w:hAnsi="Arial" w:cs="Arial"/>
                <w:b/>
                <w:bCs/>
                <w:noProof/>
                <w:sz w:val="20"/>
                <w:szCs w:val="20"/>
              </w:rPr>
              <w:t>11</w:t>
            </w:r>
            <w:r w:rsidRPr="005F3445">
              <w:rPr>
                <w:rFonts w:ascii="Arial" w:hAnsi="Arial" w:cs="Arial"/>
                <w:b/>
                <w:bCs/>
                <w:sz w:val="20"/>
                <w:szCs w:val="20"/>
              </w:rPr>
              <w:fldChar w:fldCharType="end"/>
            </w:r>
          </w:p>
        </w:sdtContent>
      </w:sdt>
    </w:sdtContent>
  </w:sdt>
  <w:p w:rsidR="0002392F" w:rsidRPr="00485E05" w:rsidRDefault="0002392F" w:rsidP="00485E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9A" w:rsidRDefault="0041719A" w:rsidP="00AE0A10">
      <w:r>
        <w:separator/>
      </w:r>
    </w:p>
  </w:footnote>
  <w:footnote w:type="continuationSeparator" w:id="0">
    <w:p w:rsidR="0041719A" w:rsidRDefault="0041719A" w:rsidP="00AE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2F" w:rsidRPr="00AE0A10" w:rsidRDefault="0002392F">
    <w:pPr>
      <w:pStyle w:val="Encabezado"/>
      <w:rPr>
        <w:rFonts w:ascii="Arial" w:hAnsi="Arial" w:cs="Arial"/>
        <w:b/>
        <w:sz w:val="18"/>
        <w:szCs w:val="18"/>
      </w:rPr>
    </w:pPr>
    <w:r>
      <w:tab/>
    </w:r>
    <w:r>
      <w:tab/>
    </w:r>
    <w:r>
      <w:tab/>
    </w:r>
    <w:r>
      <w:rPr>
        <w:rFonts w:ascii="Arial" w:hAnsi="Arial" w:cs="Arial"/>
        <w:b/>
        <w:sz w:val="18"/>
        <w:szCs w:val="18"/>
      </w:rPr>
      <w:t>ET</w:t>
    </w:r>
    <w:r w:rsidRPr="00AE0A10">
      <w:rPr>
        <w:rFonts w:ascii="Arial" w:hAnsi="Arial" w:cs="Arial"/>
        <w:b/>
        <w:sz w:val="18"/>
        <w:szCs w:val="18"/>
      </w:rPr>
      <w:t>CA-I-</w:t>
    </w:r>
    <w:r>
      <w:rPr>
        <w:rFonts w:ascii="Arial" w:hAnsi="Arial" w:cs="Arial"/>
        <w:b/>
        <w:sz w:val="18"/>
        <w:szCs w:val="18"/>
      </w:rPr>
      <w:t>12</w:t>
    </w:r>
  </w:p>
  <w:p w:rsidR="0002392F" w:rsidRPr="00AE0A10" w:rsidRDefault="0002392F"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02392F" w:rsidRPr="00AE0A10" w:rsidRDefault="0002392F" w:rsidP="00AE0A10">
    <w:pPr>
      <w:pStyle w:val="Encabezado"/>
      <w:jc w:val="center"/>
      <w:rPr>
        <w:rFonts w:ascii="Arial" w:hAnsi="Arial" w:cs="Arial"/>
        <w:b/>
        <w:sz w:val="18"/>
        <w:szCs w:val="18"/>
      </w:rPr>
    </w:pPr>
    <w:r>
      <w:rPr>
        <w:rFonts w:ascii="Arial" w:hAnsi="Arial" w:cs="Arial"/>
        <w:b/>
        <w:sz w:val="18"/>
        <w:szCs w:val="18"/>
      </w:rPr>
      <w:t>Notas a los Estados Financieros</w:t>
    </w:r>
  </w:p>
  <w:p w:rsidR="0002392F" w:rsidRDefault="0002392F" w:rsidP="00FC6249">
    <w:pPr>
      <w:pStyle w:val="Encabezado"/>
      <w:jc w:val="center"/>
      <w:rPr>
        <w:rFonts w:ascii="Arial" w:hAnsi="Arial" w:cs="Arial"/>
        <w:b/>
        <w:sz w:val="18"/>
        <w:szCs w:val="18"/>
      </w:rPr>
    </w:pPr>
    <w:r>
      <w:rPr>
        <w:rFonts w:ascii="Arial" w:hAnsi="Arial" w:cs="Arial"/>
        <w:b/>
        <w:sz w:val="18"/>
        <w:szCs w:val="18"/>
      </w:rPr>
      <w:t>Fideicomiso Maestro para el Financiamiento del Sector Agropecuario en Sonora</w:t>
    </w:r>
  </w:p>
  <w:p w:rsidR="0002392F" w:rsidRDefault="0002392F" w:rsidP="00FC6249">
    <w:pPr>
      <w:pStyle w:val="Encabezado"/>
      <w:jc w:val="center"/>
      <w:rPr>
        <w:rFonts w:ascii="Arial" w:hAnsi="Arial" w:cs="Arial"/>
        <w:b/>
        <w:sz w:val="16"/>
        <w:szCs w:val="16"/>
      </w:rPr>
    </w:pPr>
    <w:r>
      <w:rPr>
        <w:rFonts w:ascii="Arial" w:hAnsi="Arial" w:cs="Arial"/>
        <w:b/>
        <w:sz w:val="18"/>
        <w:szCs w:val="18"/>
      </w:rPr>
      <w:t xml:space="preserve">Al 30 de Septiembre </w:t>
    </w:r>
    <w:r w:rsidRPr="00AE0A10">
      <w:rPr>
        <w:rFonts w:ascii="Arial" w:hAnsi="Arial" w:cs="Arial"/>
        <w:b/>
        <w:sz w:val="16"/>
        <w:szCs w:val="16"/>
      </w:rPr>
      <w:t xml:space="preserve"> de 20</w:t>
    </w:r>
    <w:r>
      <w:rPr>
        <w:rFonts w:ascii="Arial" w:hAnsi="Arial" w:cs="Arial"/>
        <w:b/>
        <w:sz w:val="16"/>
        <w:szCs w:val="16"/>
      </w:rPr>
      <w:t>21</w:t>
    </w:r>
  </w:p>
  <w:p w:rsidR="0002392F" w:rsidRPr="00FC6249" w:rsidRDefault="0002392F" w:rsidP="00C21A3F">
    <w:pPr>
      <w:pStyle w:val="Encabezado"/>
      <w:jc w:val="center"/>
      <w:rPr>
        <w:rFonts w:ascii="Arial" w:hAnsi="Arial" w:cs="Arial"/>
        <w:b/>
        <w:sz w:val="16"/>
        <w:szCs w:val="16"/>
      </w:rPr>
    </w:pPr>
    <w:r>
      <w:rPr>
        <w:rFonts w:ascii="Arial" w:hAnsi="Arial" w:cs="Arial"/>
        <w:sz w:val="16"/>
        <w:szCs w:val="16"/>
      </w:rPr>
      <w:t xml:space="preserve">                                                                                                           </w:t>
    </w:r>
    <w:r w:rsidRPr="00AE0A10">
      <w:rPr>
        <w:rFonts w:ascii="Arial" w:hAnsi="Arial" w:cs="Arial"/>
        <w:sz w:val="16"/>
        <w:szCs w:val="16"/>
      </w:rPr>
      <w:t>(PESOS)</w:t>
    </w:r>
    <w:r>
      <w:rPr>
        <w:rFonts w:ascii="Arial" w:hAnsi="Arial" w:cs="Arial"/>
        <w:sz w:val="16"/>
        <w:szCs w:val="16"/>
      </w:rPr>
      <w:t xml:space="preserve">                                                                        Trimestre: Tercero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303"/>
    <w:multiLevelType w:val="hybridMultilevel"/>
    <w:tmpl w:val="943A0E58"/>
    <w:lvl w:ilvl="0" w:tplc="22EE8DD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17028C0"/>
    <w:multiLevelType w:val="hybridMultilevel"/>
    <w:tmpl w:val="023AB092"/>
    <w:lvl w:ilvl="0" w:tplc="776A94D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E05BB"/>
    <w:multiLevelType w:val="hybridMultilevel"/>
    <w:tmpl w:val="9AE601A0"/>
    <w:lvl w:ilvl="0" w:tplc="C200F88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9FF0E7C"/>
    <w:multiLevelType w:val="hybridMultilevel"/>
    <w:tmpl w:val="A35435A6"/>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B5F3E05"/>
    <w:multiLevelType w:val="hybridMultilevel"/>
    <w:tmpl w:val="5A607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393487"/>
    <w:multiLevelType w:val="hybridMultilevel"/>
    <w:tmpl w:val="9B802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D0329"/>
    <w:multiLevelType w:val="hybridMultilevel"/>
    <w:tmpl w:val="A1D63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3F51F1"/>
    <w:multiLevelType w:val="hybridMultilevel"/>
    <w:tmpl w:val="F25E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94D1B"/>
    <w:multiLevelType w:val="hybridMultilevel"/>
    <w:tmpl w:val="4DCC192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2234AA0"/>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E5AA3"/>
    <w:multiLevelType w:val="hybridMultilevel"/>
    <w:tmpl w:val="76B0B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FA13D2"/>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BA6257"/>
    <w:multiLevelType w:val="hybridMultilevel"/>
    <w:tmpl w:val="3B9EAB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0763F"/>
    <w:multiLevelType w:val="hybridMultilevel"/>
    <w:tmpl w:val="5F50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AB12AC"/>
    <w:multiLevelType w:val="hybridMultilevel"/>
    <w:tmpl w:val="A09C0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F767E0"/>
    <w:multiLevelType w:val="hybridMultilevel"/>
    <w:tmpl w:val="E3D4F6A4"/>
    <w:lvl w:ilvl="0" w:tplc="C70802E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3C405DB"/>
    <w:multiLevelType w:val="hybridMultilevel"/>
    <w:tmpl w:val="48C63ED4"/>
    <w:lvl w:ilvl="0" w:tplc="3182A0B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3FA0F47"/>
    <w:multiLevelType w:val="hybridMultilevel"/>
    <w:tmpl w:val="7D92ED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A7A6EC8"/>
    <w:multiLevelType w:val="hybridMultilevel"/>
    <w:tmpl w:val="7F30C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7F1997"/>
    <w:multiLevelType w:val="hybridMultilevel"/>
    <w:tmpl w:val="5A2A6E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346C97"/>
    <w:multiLevelType w:val="hybridMultilevel"/>
    <w:tmpl w:val="A4ACEE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425B54"/>
    <w:multiLevelType w:val="hybridMultilevel"/>
    <w:tmpl w:val="FF6CA090"/>
    <w:lvl w:ilvl="0" w:tplc="397844A0">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C35A3E"/>
    <w:multiLevelType w:val="hybridMultilevel"/>
    <w:tmpl w:val="6BF8A88E"/>
    <w:lvl w:ilvl="0" w:tplc="AEA0A826">
      <w:start w:val="1"/>
      <w:numFmt w:val="lowerLetter"/>
      <w:lvlText w:val="%1)"/>
      <w:lvlJc w:val="left"/>
      <w:pPr>
        <w:ind w:left="1218" w:hanging="570"/>
      </w:pPr>
      <w:rPr>
        <w:rFonts w:hint="default"/>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15:restartNumberingAfterBreak="0">
    <w:nsid w:val="521A0816"/>
    <w:multiLevelType w:val="hybridMultilevel"/>
    <w:tmpl w:val="DECCDDC2"/>
    <w:lvl w:ilvl="0" w:tplc="E50468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61091"/>
    <w:multiLevelType w:val="hybridMultilevel"/>
    <w:tmpl w:val="753271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05C63BC"/>
    <w:multiLevelType w:val="hybridMultilevel"/>
    <w:tmpl w:val="F7B6A54A"/>
    <w:lvl w:ilvl="0" w:tplc="FAD68DEC">
      <w:start w:val="4"/>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2053D5"/>
    <w:multiLevelType w:val="hybridMultilevel"/>
    <w:tmpl w:val="89005B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F32879"/>
    <w:multiLevelType w:val="hybridMultilevel"/>
    <w:tmpl w:val="152CACA6"/>
    <w:lvl w:ilvl="0" w:tplc="AA642E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BE63076"/>
    <w:multiLevelType w:val="hybridMultilevel"/>
    <w:tmpl w:val="E0328512"/>
    <w:lvl w:ilvl="0" w:tplc="5CF6A46A">
      <w:start w:val="1"/>
      <w:numFmt w:val="upp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BFB3BD8"/>
    <w:multiLevelType w:val="hybridMultilevel"/>
    <w:tmpl w:val="4B22D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F80DC4"/>
    <w:multiLevelType w:val="hybridMultilevel"/>
    <w:tmpl w:val="A1A49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8E1EA0"/>
    <w:multiLevelType w:val="hybridMultilevel"/>
    <w:tmpl w:val="C076E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2638B0"/>
    <w:multiLevelType w:val="hybridMultilevel"/>
    <w:tmpl w:val="FC5013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66A1AA7"/>
    <w:multiLevelType w:val="hybridMultilevel"/>
    <w:tmpl w:val="302EE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B1331D"/>
    <w:multiLevelType w:val="hybridMultilevel"/>
    <w:tmpl w:val="C262E59E"/>
    <w:lvl w:ilvl="0" w:tplc="3550913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5" w15:restartNumberingAfterBreak="0">
    <w:nsid w:val="78831D81"/>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087F8D"/>
    <w:multiLevelType w:val="hybridMultilevel"/>
    <w:tmpl w:val="9FD8D1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
  </w:num>
  <w:num w:numId="3">
    <w:abstractNumId w:val="15"/>
  </w:num>
  <w:num w:numId="4">
    <w:abstractNumId w:val="34"/>
  </w:num>
  <w:num w:numId="5">
    <w:abstractNumId w:val="22"/>
  </w:num>
  <w:num w:numId="6">
    <w:abstractNumId w:val="7"/>
  </w:num>
  <w:num w:numId="7">
    <w:abstractNumId w:val="31"/>
  </w:num>
  <w:num w:numId="8">
    <w:abstractNumId w:val="5"/>
  </w:num>
  <w:num w:numId="9">
    <w:abstractNumId w:val="20"/>
  </w:num>
  <w:num w:numId="10">
    <w:abstractNumId w:val="30"/>
  </w:num>
  <w:num w:numId="11">
    <w:abstractNumId w:val="35"/>
  </w:num>
  <w:num w:numId="12">
    <w:abstractNumId w:val="23"/>
  </w:num>
  <w:num w:numId="13">
    <w:abstractNumId w:val="3"/>
  </w:num>
  <w:num w:numId="14">
    <w:abstractNumId w:val="16"/>
  </w:num>
  <w:num w:numId="15">
    <w:abstractNumId w:val="32"/>
  </w:num>
  <w:num w:numId="16">
    <w:abstractNumId w:val="17"/>
  </w:num>
  <w:num w:numId="17">
    <w:abstractNumId w:val="1"/>
  </w:num>
  <w:num w:numId="18">
    <w:abstractNumId w:val="24"/>
  </w:num>
  <w:num w:numId="19">
    <w:abstractNumId w:val="11"/>
  </w:num>
  <w:num w:numId="20">
    <w:abstractNumId w:val="9"/>
  </w:num>
  <w:num w:numId="21">
    <w:abstractNumId w:val="18"/>
  </w:num>
  <w:num w:numId="22">
    <w:abstractNumId w:val="28"/>
  </w:num>
  <w:num w:numId="23">
    <w:abstractNumId w:val="0"/>
  </w:num>
  <w:num w:numId="24">
    <w:abstractNumId w:val="21"/>
  </w:num>
  <w:num w:numId="25">
    <w:abstractNumId w:val="29"/>
  </w:num>
  <w:num w:numId="26">
    <w:abstractNumId w:val="4"/>
  </w:num>
  <w:num w:numId="27">
    <w:abstractNumId w:val="10"/>
  </w:num>
  <w:num w:numId="28">
    <w:abstractNumId w:val="14"/>
  </w:num>
  <w:num w:numId="29">
    <w:abstractNumId w:val="12"/>
  </w:num>
  <w:num w:numId="30">
    <w:abstractNumId w:val="36"/>
  </w:num>
  <w:num w:numId="31">
    <w:abstractNumId w:val="6"/>
  </w:num>
  <w:num w:numId="32">
    <w:abstractNumId w:val="8"/>
  </w:num>
  <w:num w:numId="33">
    <w:abstractNumId w:val="26"/>
  </w:num>
  <w:num w:numId="34">
    <w:abstractNumId w:val="13"/>
  </w:num>
  <w:num w:numId="35">
    <w:abstractNumId w:val="19"/>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86"/>
    <w:rsid w:val="00007BA2"/>
    <w:rsid w:val="000116D0"/>
    <w:rsid w:val="000149BD"/>
    <w:rsid w:val="0002392F"/>
    <w:rsid w:val="00035614"/>
    <w:rsid w:val="00037999"/>
    <w:rsid w:val="00042844"/>
    <w:rsid w:val="00052840"/>
    <w:rsid w:val="0005541A"/>
    <w:rsid w:val="000619BC"/>
    <w:rsid w:val="000632D5"/>
    <w:rsid w:val="0006441D"/>
    <w:rsid w:val="00066873"/>
    <w:rsid w:val="00090C6E"/>
    <w:rsid w:val="000914B8"/>
    <w:rsid w:val="000924AC"/>
    <w:rsid w:val="0009372E"/>
    <w:rsid w:val="00093D0D"/>
    <w:rsid w:val="00095D93"/>
    <w:rsid w:val="000A5C77"/>
    <w:rsid w:val="000B23FD"/>
    <w:rsid w:val="000C0589"/>
    <w:rsid w:val="000C6040"/>
    <w:rsid w:val="000C6157"/>
    <w:rsid w:val="000D0415"/>
    <w:rsid w:val="000D09C9"/>
    <w:rsid w:val="000E0C9E"/>
    <w:rsid w:val="000E36B9"/>
    <w:rsid w:val="000E721D"/>
    <w:rsid w:val="000F14A3"/>
    <w:rsid w:val="00103B44"/>
    <w:rsid w:val="001049B4"/>
    <w:rsid w:val="001053CE"/>
    <w:rsid w:val="00111F37"/>
    <w:rsid w:val="00114061"/>
    <w:rsid w:val="0011553C"/>
    <w:rsid w:val="0011573D"/>
    <w:rsid w:val="00116E92"/>
    <w:rsid w:val="001208E4"/>
    <w:rsid w:val="0012132D"/>
    <w:rsid w:val="0012448A"/>
    <w:rsid w:val="00127C22"/>
    <w:rsid w:val="00131A0F"/>
    <w:rsid w:val="00137109"/>
    <w:rsid w:val="0013767E"/>
    <w:rsid w:val="001433FC"/>
    <w:rsid w:val="0014484C"/>
    <w:rsid w:val="00145F8F"/>
    <w:rsid w:val="00150330"/>
    <w:rsid w:val="00151D40"/>
    <w:rsid w:val="00154E20"/>
    <w:rsid w:val="0016315A"/>
    <w:rsid w:val="0016350B"/>
    <w:rsid w:val="00175D85"/>
    <w:rsid w:val="00180430"/>
    <w:rsid w:val="001809F3"/>
    <w:rsid w:val="00184A7C"/>
    <w:rsid w:val="00187428"/>
    <w:rsid w:val="001A2438"/>
    <w:rsid w:val="001A2F8A"/>
    <w:rsid w:val="001A6269"/>
    <w:rsid w:val="001A74EA"/>
    <w:rsid w:val="001B2298"/>
    <w:rsid w:val="001B35D9"/>
    <w:rsid w:val="001C0072"/>
    <w:rsid w:val="001D3A49"/>
    <w:rsid w:val="001D43E7"/>
    <w:rsid w:val="001D7494"/>
    <w:rsid w:val="001D7ABE"/>
    <w:rsid w:val="001E6DC4"/>
    <w:rsid w:val="001F1E53"/>
    <w:rsid w:val="001F213F"/>
    <w:rsid w:val="001F275D"/>
    <w:rsid w:val="001F65C2"/>
    <w:rsid w:val="002012CB"/>
    <w:rsid w:val="00205477"/>
    <w:rsid w:val="00214C34"/>
    <w:rsid w:val="00223000"/>
    <w:rsid w:val="002302DC"/>
    <w:rsid w:val="0023402A"/>
    <w:rsid w:val="00244533"/>
    <w:rsid w:val="00247D65"/>
    <w:rsid w:val="0025026D"/>
    <w:rsid w:val="00250C1B"/>
    <w:rsid w:val="00252799"/>
    <w:rsid w:val="00253563"/>
    <w:rsid w:val="0026195E"/>
    <w:rsid w:val="002646DE"/>
    <w:rsid w:val="00264DE2"/>
    <w:rsid w:val="00267C67"/>
    <w:rsid w:val="002801C6"/>
    <w:rsid w:val="002802AE"/>
    <w:rsid w:val="00280590"/>
    <w:rsid w:val="00280A0D"/>
    <w:rsid w:val="00280EE6"/>
    <w:rsid w:val="0028426A"/>
    <w:rsid w:val="00291716"/>
    <w:rsid w:val="00292D8B"/>
    <w:rsid w:val="002939CD"/>
    <w:rsid w:val="002957D8"/>
    <w:rsid w:val="002A3EF5"/>
    <w:rsid w:val="002B3714"/>
    <w:rsid w:val="002B40DE"/>
    <w:rsid w:val="002B5D27"/>
    <w:rsid w:val="002B6CE6"/>
    <w:rsid w:val="002C24E7"/>
    <w:rsid w:val="002D19E5"/>
    <w:rsid w:val="002D4AB4"/>
    <w:rsid w:val="00305E11"/>
    <w:rsid w:val="00311B01"/>
    <w:rsid w:val="0032103B"/>
    <w:rsid w:val="0032588E"/>
    <w:rsid w:val="00331C1E"/>
    <w:rsid w:val="00333115"/>
    <w:rsid w:val="00334008"/>
    <w:rsid w:val="0033552F"/>
    <w:rsid w:val="00340378"/>
    <w:rsid w:val="003519BB"/>
    <w:rsid w:val="00356414"/>
    <w:rsid w:val="0035708D"/>
    <w:rsid w:val="0036412B"/>
    <w:rsid w:val="003667AD"/>
    <w:rsid w:val="00366F04"/>
    <w:rsid w:val="00375F25"/>
    <w:rsid w:val="00381DF5"/>
    <w:rsid w:val="0038791D"/>
    <w:rsid w:val="00393E9C"/>
    <w:rsid w:val="00394D00"/>
    <w:rsid w:val="003950E4"/>
    <w:rsid w:val="00395654"/>
    <w:rsid w:val="00396681"/>
    <w:rsid w:val="003A29AD"/>
    <w:rsid w:val="003B4142"/>
    <w:rsid w:val="003C5119"/>
    <w:rsid w:val="003C6AAE"/>
    <w:rsid w:val="003D3B23"/>
    <w:rsid w:val="003E161A"/>
    <w:rsid w:val="003E24C3"/>
    <w:rsid w:val="003F06A7"/>
    <w:rsid w:val="003F2992"/>
    <w:rsid w:val="004074FB"/>
    <w:rsid w:val="00407DFD"/>
    <w:rsid w:val="00410E1B"/>
    <w:rsid w:val="00410FDA"/>
    <w:rsid w:val="00415314"/>
    <w:rsid w:val="00416D14"/>
    <w:rsid w:val="0041719A"/>
    <w:rsid w:val="0042023F"/>
    <w:rsid w:val="00420C82"/>
    <w:rsid w:val="0042201B"/>
    <w:rsid w:val="0043352D"/>
    <w:rsid w:val="004341B3"/>
    <w:rsid w:val="00462C82"/>
    <w:rsid w:val="00481DBB"/>
    <w:rsid w:val="00485E05"/>
    <w:rsid w:val="00492A27"/>
    <w:rsid w:val="00492E17"/>
    <w:rsid w:val="004A4E2D"/>
    <w:rsid w:val="004C4435"/>
    <w:rsid w:val="004C677E"/>
    <w:rsid w:val="004D4ACB"/>
    <w:rsid w:val="004E3414"/>
    <w:rsid w:val="004E37AC"/>
    <w:rsid w:val="004F3A86"/>
    <w:rsid w:val="004F6C9D"/>
    <w:rsid w:val="004F7D49"/>
    <w:rsid w:val="004F7FC1"/>
    <w:rsid w:val="00504EE2"/>
    <w:rsid w:val="005112BA"/>
    <w:rsid w:val="00522934"/>
    <w:rsid w:val="00526843"/>
    <w:rsid w:val="00534314"/>
    <w:rsid w:val="00537E99"/>
    <w:rsid w:val="005413B1"/>
    <w:rsid w:val="00550CB5"/>
    <w:rsid w:val="00551751"/>
    <w:rsid w:val="00551F4E"/>
    <w:rsid w:val="00555E86"/>
    <w:rsid w:val="00556A0E"/>
    <w:rsid w:val="00562C9A"/>
    <w:rsid w:val="00563C0E"/>
    <w:rsid w:val="00565A9C"/>
    <w:rsid w:val="005751EC"/>
    <w:rsid w:val="00581F1F"/>
    <w:rsid w:val="005834B2"/>
    <w:rsid w:val="0059068D"/>
    <w:rsid w:val="00593F19"/>
    <w:rsid w:val="005A1EDF"/>
    <w:rsid w:val="005A2646"/>
    <w:rsid w:val="005A7E66"/>
    <w:rsid w:val="005A7EBD"/>
    <w:rsid w:val="005B6C42"/>
    <w:rsid w:val="005C09F7"/>
    <w:rsid w:val="005C43E0"/>
    <w:rsid w:val="005D1DE1"/>
    <w:rsid w:val="005E03D5"/>
    <w:rsid w:val="005E17EB"/>
    <w:rsid w:val="005E6080"/>
    <w:rsid w:val="005F0379"/>
    <w:rsid w:val="005F1017"/>
    <w:rsid w:val="005F3445"/>
    <w:rsid w:val="006004C1"/>
    <w:rsid w:val="0060584C"/>
    <w:rsid w:val="0062440F"/>
    <w:rsid w:val="006248ED"/>
    <w:rsid w:val="00625E68"/>
    <w:rsid w:val="006310B2"/>
    <w:rsid w:val="00631B78"/>
    <w:rsid w:val="00633C92"/>
    <w:rsid w:val="00646FD4"/>
    <w:rsid w:val="0065228E"/>
    <w:rsid w:val="00652A62"/>
    <w:rsid w:val="00661589"/>
    <w:rsid w:val="00662F7D"/>
    <w:rsid w:val="00666798"/>
    <w:rsid w:val="00684A5A"/>
    <w:rsid w:val="00684BC4"/>
    <w:rsid w:val="006870C9"/>
    <w:rsid w:val="00687472"/>
    <w:rsid w:val="006A0E8D"/>
    <w:rsid w:val="006B73D1"/>
    <w:rsid w:val="006D02B2"/>
    <w:rsid w:val="006D2D0F"/>
    <w:rsid w:val="006D4BEB"/>
    <w:rsid w:val="006E2A27"/>
    <w:rsid w:val="006E4C7E"/>
    <w:rsid w:val="006E4CA2"/>
    <w:rsid w:val="006E78BD"/>
    <w:rsid w:val="0070456A"/>
    <w:rsid w:val="00707579"/>
    <w:rsid w:val="00711BEF"/>
    <w:rsid w:val="00712F05"/>
    <w:rsid w:val="00713060"/>
    <w:rsid w:val="00720A60"/>
    <w:rsid w:val="00722E26"/>
    <w:rsid w:val="00731578"/>
    <w:rsid w:val="00743A84"/>
    <w:rsid w:val="007445E0"/>
    <w:rsid w:val="007505B7"/>
    <w:rsid w:val="00750C62"/>
    <w:rsid w:val="00765599"/>
    <w:rsid w:val="007659DF"/>
    <w:rsid w:val="00772B68"/>
    <w:rsid w:val="0077769E"/>
    <w:rsid w:val="00783E68"/>
    <w:rsid w:val="00785C04"/>
    <w:rsid w:val="007A45A6"/>
    <w:rsid w:val="007A6141"/>
    <w:rsid w:val="007A63AA"/>
    <w:rsid w:val="007B3D0E"/>
    <w:rsid w:val="007C5041"/>
    <w:rsid w:val="007C7E84"/>
    <w:rsid w:val="007C7F50"/>
    <w:rsid w:val="007D7725"/>
    <w:rsid w:val="007E2ACB"/>
    <w:rsid w:val="007E372B"/>
    <w:rsid w:val="007E5903"/>
    <w:rsid w:val="007F20F5"/>
    <w:rsid w:val="007F649A"/>
    <w:rsid w:val="00804393"/>
    <w:rsid w:val="008206CE"/>
    <w:rsid w:val="008248E9"/>
    <w:rsid w:val="00825B48"/>
    <w:rsid w:val="008304A8"/>
    <w:rsid w:val="00832384"/>
    <w:rsid w:val="00835E92"/>
    <w:rsid w:val="008576FC"/>
    <w:rsid w:val="0086486C"/>
    <w:rsid w:val="008651D0"/>
    <w:rsid w:val="00866C53"/>
    <w:rsid w:val="008803C9"/>
    <w:rsid w:val="0088685D"/>
    <w:rsid w:val="00887FE9"/>
    <w:rsid w:val="008919AF"/>
    <w:rsid w:val="00892C9D"/>
    <w:rsid w:val="008A1C2B"/>
    <w:rsid w:val="008A1E7A"/>
    <w:rsid w:val="008A6D43"/>
    <w:rsid w:val="008C3D47"/>
    <w:rsid w:val="008D0B37"/>
    <w:rsid w:val="008E3343"/>
    <w:rsid w:val="008F01F5"/>
    <w:rsid w:val="008F4181"/>
    <w:rsid w:val="008F4CF1"/>
    <w:rsid w:val="008F5BAC"/>
    <w:rsid w:val="00903793"/>
    <w:rsid w:val="009121A7"/>
    <w:rsid w:val="00925CB1"/>
    <w:rsid w:val="009306CB"/>
    <w:rsid w:val="00931B98"/>
    <w:rsid w:val="00937E40"/>
    <w:rsid w:val="0094505D"/>
    <w:rsid w:val="00946150"/>
    <w:rsid w:val="00960DAF"/>
    <w:rsid w:val="00962CE8"/>
    <w:rsid w:val="009673DB"/>
    <w:rsid w:val="009677DF"/>
    <w:rsid w:val="009828E7"/>
    <w:rsid w:val="009848B4"/>
    <w:rsid w:val="0099153B"/>
    <w:rsid w:val="009D4D70"/>
    <w:rsid w:val="009D6275"/>
    <w:rsid w:val="009D65E6"/>
    <w:rsid w:val="00A07E59"/>
    <w:rsid w:val="00A11AE1"/>
    <w:rsid w:val="00A12E38"/>
    <w:rsid w:val="00A131C2"/>
    <w:rsid w:val="00A139F0"/>
    <w:rsid w:val="00A1489A"/>
    <w:rsid w:val="00A21E0C"/>
    <w:rsid w:val="00A23CDF"/>
    <w:rsid w:val="00A35C2E"/>
    <w:rsid w:val="00A40D88"/>
    <w:rsid w:val="00A548DD"/>
    <w:rsid w:val="00A6259A"/>
    <w:rsid w:val="00A62F90"/>
    <w:rsid w:val="00A6338A"/>
    <w:rsid w:val="00A66573"/>
    <w:rsid w:val="00A71B86"/>
    <w:rsid w:val="00A734B1"/>
    <w:rsid w:val="00A812CD"/>
    <w:rsid w:val="00A8261F"/>
    <w:rsid w:val="00A85111"/>
    <w:rsid w:val="00A86824"/>
    <w:rsid w:val="00A901D0"/>
    <w:rsid w:val="00A93AB7"/>
    <w:rsid w:val="00AA7DFB"/>
    <w:rsid w:val="00AC1001"/>
    <w:rsid w:val="00AC66EF"/>
    <w:rsid w:val="00AD0310"/>
    <w:rsid w:val="00AD1417"/>
    <w:rsid w:val="00AE0A10"/>
    <w:rsid w:val="00AE5873"/>
    <w:rsid w:val="00AF1858"/>
    <w:rsid w:val="00B10249"/>
    <w:rsid w:val="00B2118D"/>
    <w:rsid w:val="00B26069"/>
    <w:rsid w:val="00B31833"/>
    <w:rsid w:val="00B363B8"/>
    <w:rsid w:val="00B41AF3"/>
    <w:rsid w:val="00B4366A"/>
    <w:rsid w:val="00B46579"/>
    <w:rsid w:val="00B5062D"/>
    <w:rsid w:val="00B5498C"/>
    <w:rsid w:val="00B54CA9"/>
    <w:rsid w:val="00B66AFC"/>
    <w:rsid w:val="00B83173"/>
    <w:rsid w:val="00B834C8"/>
    <w:rsid w:val="00B90847"/>
    <w:rsid w:val="00B91C9C"/>
    <w:rsid w:val="00B934C3"/>
    <w:rsid w:val="00BA4049"/>
    <w:rsid w:val="00BB18E5"/>
    <w:rsid w:val="00BB198C"/>
    <w:rsid w:val="00BB7DE5"/>
    <w:rsid w:val="00BC66BB"/>
    <w:rsid w:val="00BD29E7"/>
    <w:rsid w:val="00BE53F3"/>
    <w:rsid w:val="00BE56AC"/>
    <w:rsid w:val="00BE7E91"/>
    <w:rsid w:val="00C00BDD"/>
    <w:rsid w:val="00C00CCD"/>
    <w:rsid w:val="00C03D2A"/>
    <w:rsid w:val="00C1081F"/>
    <w:rsid w:val="00C14C4E"/>
    <w:rsid w:val="00C21A3F"/>
    <w:rsid w:val="00C24C68"/>
    <w:rsid w:val="00C2504F"/>
    <w:rsid w:val="00C260C4"/>
    <w:rsid w:val="00C27506"/>
    <w:rsid w:val="00C27DA8"/>
    <w:rsid w:val="00C30E16"/>
    <w:rsid w:val="00C32CDF"/>
    <w:rsid w:val="00C43A61"/>
    <w:rsid w:val="00C641A9"/>
    <w:rsid w:val="00C6425F"/>
    <w:rsid w:val="00C659C5"/>
    <w:rsid w:val="00C82CDD"/>
    <w:rsid w:val="00C84B55"/>
    <w:rsid w:val="00C8504A"/>
    <w:rsid w:val="00C90B5E"/>
    <w:rsid w:val="00C97489"/>
    <w:rsid w:val="00CA70C4"/>
    <w:rsid w:val="00CB6EB1"/>
    <w:rsid w:val="00CB7989"/>
    <w:rsid w:val="00CC1EAF"/>
    <w:rsid w:val="00CC2BC5"/>
    <w:rsid w:val="00CD01C0"/>
    <w:rsid w:val="00CD2F2D"/>
    <w:rsid w:val="00CE4BC7"/>
    <w:rsid w:val="00CE7A76"/>
    <w:rsid w:val="00CF1E47"/>
    <w:rsid w:val="00D05EBC"/>
    <w:rsid w:val="00D25E22"/>
    <w:rsid w:val="00D27E0D"/>
    <w:rsid w:val="00D366E5"/>
    <w:rsid w:val="00D4407F"/>
    <w:rsid w:val="00D45614"/>
    <w:rsid w:val="00D52D08"/>
    <w:rsid w:val="00D614DB"/>
    <w:rsid w:val="00D623A5"/>
    <w:rsid w:val="00D671AB"/>
    <w:rsid w:val="00D73043"/>
    <w:rsid w:val="00D750F3"/>
    <w:rsid w:val="00D77CE1"/>
    <w:rsid w:val="00D807C8"/>
    <w:rsid w:val="00D81085"/>
    <w:rsid w:val="00D8447B"/>
    <w:rsid w:val="00D924FC"/>
    <w:rsid w:val="00D92E5D"/>
    <w:rsid w:val="00D9544A"/>
    <w:rsid w:val="00DA0790"/>
    <w:rsid w:val="00DA087E"/>
    <w:rsid w:val="00DA22E9"/>
    <w:rsid w:val="00DB0DB8"/>
    <w:rsid w:val="00DC4356"/>
    <w:rsid w:val="00DD62BD"/>
    <w:rsid w:val="00DE3641"/>
    <w:rsid w:val="00DE67C5"/>
    <w:rsid w:val="00DE67E3"/>
    <w:rsid w:val="00DF0A4E"/>
    <w:rsid w:val="00E118D9"/>
    <w:rsid w:val="00E11906"/>
    <w:rsid w:val="00E15CCE"/>
    <w:rsid w:val="00E20475"/>
    <w:rsid w:val="00E23BB0"/>
    <w:rsid w:val="00E31904"/>
    <w:rsid w:val="00E35008"/>
    <w:rsid w:val="00E45138"/>
    <w:rsid w:val="00E4751A"/>
    <w:rsid w:val="00E53253"/>
    <w:rsid w:val="00E56378"/>
    <w:rsid w:val="00E85C1E"/>
    <w:rsid w:val="00E870E9"/>
    <w:rsid w:val="00E90D94"/>
    <w:rsid w:val="00E940EF"/>
    <w:rsid w:val="00EA2A73"/>
    <w:rsid w:val="00EA51C2"/>
    <w:rsid w:val="00EC2786"/>
    <w:rsid w:val="00EC7D31"/>
    <w:rsid w:val="00ED2408"/>
    <w:rsid w:val="00ED6A55"/>
    <w:rsid w:val="00EE25D1"/>
    <w:rsid w:val="00EE3828"/>
    <w:rsid w:val="00EE44B2"/>
    <w:rsid w:val="00EF56A0"/>
    <w:rsid w:val="00EF700D"/>
    <w:rsid w:val="00EF7488"/>
    <w:rsid w:val="00F04D5C"/>
    <w:rsid w:val="00F12366"/>
    <w:rsid w:val="00F13F04"/>
    <w:rsid w:val="00F143E3"/>
    <w:rsid w:val="00F168D3"/>
    <w:rsid w:val="00F20491"/>
    <w:rsid w:val="00F23586"/>
    <w:rsid w:val="00F256C9"/>
    <w:rsid w:val="00F307CE"/>
    <w:rsid w:val="00F31859"/>
    <w:rsid w:val="00F42596"/>
    <w:rsid w:val="00F63FF7"/>
    <w:rsid w:val="00F7766E"/>
    <w:rsid w:val="00F77990"/>
    <w:rsid w:val="00F80D73"/>
    <w:rsid w:val="00F8286D"/>
    <w:rsid w:val="00F82E38"/>
    <w:rsid w:val="00F85F51"/>
    <w:rsid w:val="00F96F52"/>
    <w:rsid w:val="00FA03FD"/>
    <w:rsid w:val="00FA0535"/>
    <w:rsid w:val="00FA32E3"/>
    <w:rsid w:val="00FA36E1"/>
    <w:rsid w:val="00FA435F"/>
    <w:rsid w:val="00FB28F4"/>
    <w:rsid w:val="00FC0768"/>
    <w:rsid w:val="00FC55A3"/>
    <w:rsid w:val="00FC6249"/>
    <w:rsid w:val="00FD06CF"/>
    <w:rsid w:val="00FE0A64"/>
    <w:rsid w:val="00FE34A1"/>
    <w:rsid w:val="00FE3C02"/>
    <w:rsid w:val="00FE5AFD"/>
    <w:rsid w:val="00FE6AF8"/>
    <w:rsid w:val="00FF4B22"/>
    <w:rsid w:val="00FF5828"/>
    <w:rsid w:val="00FF6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44BA3-F74D-4289-8B24-F7BD2C39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customStyle="1" w:styleId="Texto">
    <w:name w:val="Texto"/>
    <w:basedOn w:val="Normal"/>
    <w:link w:val="TextoCar"/>
    <w:qFormat/>
    <w:rsid w:val="003A29AD"/>
    <w:pPr>
      <w:spacing w:after="101" w:line="216" w:lineRule="exact"/>
      <w:ind w:firstLine="288"/>
      <w:jc w:val="both"/>
    </w:pPr>
    <w:rPr>
      <w:rFonts w:ascii="Arial" w:hAnsi="Arial" w:cs="Arial"/>
      <w:sz w:val="18"/>
      <w:szCs w:val="20"/>
    </w:rPr>
  </w:style>
  <w:style w:type="paragraph" w:customStyle="1" w:styleId="ROMANOS">
    <w:name w:val="ROMANOS"/>
    <w:basedOn w:val="Normal"/>
    <w:rsid w:val="003A29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A29AD"/>
    <w:pPr>
      <w:spacing w:after="101" w:line="216" w:lineRule="exact"/>
      <w:ind w:left="1080" w:hanging="360"/>
      <w:jc w:val="both"/>
    </w:pPr>
    <w:rPr>
      <w:rFonts w:ascii="Arial" w:hAnsi="Arial" w:cs="Arial"/>
      <w:sz w:val="18"/>
      <w:szCs w:val="18"/>
    </w:rPr>
  </w:style>
  <w:style w:type="table" w:styleId="Tablaconcuadrcula">
    <w:name w:val="Table Grid"/>
    <w:basedOn w:val="Tablanormal"/>
    <w:uiPriority w:val="39"/>
    <w:rsid w:val="003A29A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C34"/>
    <w:pPr>
      <w:autoSpaceDE w:val="0"/>
      <w:autoSpaceDN w:val="0"/>
      <w:adjustRightInd w:val="0"/>
      <w:spacing w:after="0" w:line="240" w:lineRule="auto"/>
    </w:pPr>
    <w:rPr>
      <w:rFonts w:ascii="Arial" w:hAnsi="Arial" w:cs="Arial"/>
      <w:color w:val="000000"/>
      <w:sz w:val="24"/>
      <w:szCs w:val="24"/>
      <w:lang w:val="es-MX"/>
    </w:rPr>
  </w:style>
  <w:style w:type="character" w:customStyle="1" w:styleId="TextoCar">
    <w:name w:val="Texto Car"/>
    <w:link w:val="Texto"/>
    <w:locked/>
    <w:rsid w:val="00214C34"/>
    <w:rPr>
      <w:rFonts w:ascii="Arial" w:eastAsia="Times New Roman" w:hAnsi="Arial" w:cs="Arial"/>
      <w:sz w:val="18"/>
      <w:szCs w:val="20"/>
      <w:lang w:eastAsia="es-ES"/>
    </w:rPr>
  </w:style>
  <w:style w:type="paragraph" w:styleId="Prrafodelista">
    <w:name w:val="List Paragraph"/>
    <w:basedOn w:val="Normal"/>
    <w:uiPriority w:val="34"/>
    <w:qFormat/>
    <w:rsid w:val="00214C34"/>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semiHidden/>
    <w:rsid w:val="00214C34"/>
    <w:rPr>
      <w:sz w:val="16"/>
      <w:szCs w:val="16"/>
    </w:rPr>
  </w:style>
  <w:style w:type="paragraph" w:styleId="Textocomentario">
    <w:name w:val="annotation text"/>
    <w:basedOn w:val="Normal"/>
    <w:link w:val="TextocomentarioCar"/>
    <w:semiHidden/>
    <w:rsid w:val="00214C34"/>
    <w:rPr>
      <w:sz w:val="20"/>
      <w:szCs w:val="20"/>
    </w:rPr>
  </w:style>
  <w:style w:type="character" w:customStyle="1" w:styleId="TextocomentarioCar">
    <w:name w:val="Texto comentario Car"/>
    <w:basedOn w:val="Fuentedeprrafopredeter"/>
    <w:link w:val="Textocomentario"/>
    <w:semiHidden/>
    <w:rsid w:val="00214C34"/>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214C34"/>
    <w:rPr>
      <w:i/>
      <w:iCs/>
    </w:rPr>
  </w:style>
  <w:style w:type="paragraph" w:styleId="NormalWeb">
    <w:name w:val="Normal (Web)"/>
    <w:basedOn w:val="Normal"/>
    <w:uiPriority w:val="99"/>
    <w:semiHidden/>
    <w:unhideWhenUsed/>
    <w:rsid w:val="005F3445"/>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522">
      <w:bodyDiv w:val="1"/>
      <w:marLeft w:val="0"/>
      <w:marRight w:val="0"/>
      <w:marTop w:val="0"/>
      <w:marBottom w:val="0"/>
      <w:divBdr>
        <w:top w:val="none" w:sz="0" w:space="0" w:color="auto"/>
        <w:left w:val="none" w:sz="0" w:space="0" w:color="auto"/>
        <w:bottom w:val="none" w:sz="0" w:space="0" w:color="auto"/>
        <w:right w:val="none" w:sz="0" w:space="0" w:color="auto"/>
      </w:divBdr>
    </w:div>
    <w:div w:id="163396580">
      <w:bodyDiv w:val="1"/>
      <w:marLeft w:val="0"/>
      <w:marRight w:val="0"/>
      <w:marTop w:val="0"/>
      <w:marBottom w:val="0"/>
      <w:divBdr>
        <w:top w:val="none" w:sz="0" w:space="0" w:color="auto"/>
        <w:left w:val="none" w:sz="0" w:space="0" w:color="auto"/>
        <w:bottom w:val="none" w:sz="0" w:space="0" w:color="auto"/>
        <w:right w:val="none" w:sz="0" w:space="0" w:color="auto"/>
      </w:divBdr>
    </w:div>
    <w:div w:id="170721699">
      <w:bodyDiv w:val="1"/>
      <w:marLeft w:val="0"/>
      <w:marRight w:val="0"/>
      <w:marTop w:val="0"/>
      <w:marBottom w:val="0"/>
      <w:divBdr>
        <w:top w:val="none" w:sz="0" w:space="0" w:color="auto"/>
        <w:left w:val="none" w:sz="0" w:space="0" w:color="auto"/>
        <w:bottom w:val="none" w:sz="0" w:space="0" w:color="auto"/>
        <w:right w:val="none" w:sz="0" w:space="0" w:color="auto"/>
      </w:divBdr>
    </w:div>
    <w:div w:id="197162253">
      <w:bodyDiv w:val="1"/>
      <w:marLeft w:val="0"/>
      <w:marRight w:val="0"/>
      <w:marTop w:val="0"/>
      <w:marBottom w:val="0"/>
      <w:divBdr>
        <w:top w:val="none" w:sz="0" w:space="0" w:color="auto"/>
        <w:left w:val="none" w:sz="0" w:space="0" w:color="auto"/>
        <w:bottom w:val="none" w:sz="0" w:space="0" w:color="auto"/>
        <w:right w:val="none" w:sz="0" w:space="0" w:color="auto"/>
      </w:divBdr>
    </w:div>
    <w:div w:id="278799829">
      <w:bodyDiv w:val="1"/>
      <w:marLeft w:val="0"/>
      <w:marRight w:val="0"/>
      <w:marTop w:val="0"/>
      <w:marBottom w:val="0"/>
      <w:divBdr>
        <w:top w:val="none" w:sz="0" w:space="0" w:color="auto"/>
        <w:left w:val="none" w:sz="0" w:space="0" w:color="auto"/>
        <w:bottom w:val="none" w:sz="0" w:space="0" w:color="auto"/>
        <w:right w:val="none" w:sz="0" w:space="0" w:color="auto"/>
      </w:divBdr>
    </w:div>
    <w:div w:id="317148195">
      <w:bodyDiv w:val="1"/>
      <w:marLeft w:val="0"/>
      <w:marRight w:val="0"/>
      <w:marTop w:val="0"/>
      <w:marBottom w:val="0"/>
      <w:divBdr>
        <w:top w:val="none" w:sz="0" w:space="0" w:color="auto"/>
        <w:left w:val="none" w:sz="0" w:space="0" w:color="auto"/>
        <w:bottom w:val="none" w:sz="0" w:space="0" w:color="auto"/>
        <w:right w:val="none" w:sz="0" w:space="0" w:color="auto"/>
      </w:divBdr>
    </w:div>
    <w:div w:id="410276801">
      <w:bodyDiv w:val="1"/>
      <w:marLeft w:val="0"/>
      <w:marRight w:val="0"/>
      <w:marTop w:val="0"/>
      <w:marBottom w:val="0"/>
      <w:divBdr>
        <w:top w:val="none" w:sz="0" w:space="0" w:color="auto"/>
        <w:left w:val="none" w:sz="0" w:space="0" w:color="auto"/>
        <w:bottom w:val="none" w:sz="0" w:space="0" w:color="auto"/>
        <w:right w:val="none" w:sz="0" w:space="0" w:color="auto"/>
      </w:divBdr>
    </w:div>
    <w:div w:id="443620191">
      <w:bodyDiv w:val="1"/>
      <w:marLeft w:val="0"/>
      <w:marRight w:val="0"/>
      <w:marTop w:val="0"/>
      <w:marBottom w:val="0"/>
      <w:divBdr>
        <w:top w:val="none" w:sz="0" w:space="0" w:color="auto"/>
        <w:left w:val="none" w:sz="0" w:space="0" w:color="auto"/>
        <w:bottom w:val="none" w:sz="0" w:space="0" w:color="auto"/>
        <w:right w:val="none" w:sz="0" w:space="0" w:color="auto"/>
      </w:divBdr>
    </w:div>
    <w:div w:id="447893505">
      <w:bodyDiv w:val="1"/>
      <w:marLeft w:val="0"/>
      <w:marRight w:val="0"/>
      <w:marTop w:val="0"/>
      <w:marBottom w:val="0"/>
      <w:divBdr>
        <w:top w:val="none" w:sz="0" w:space="0" w:color="auto"/>
        <w:left w:val="none" w:sz="0" w:space="0" w:color="auto"/>
        <w:bottom w:val="none" w:sz="0" w:space="0" w:color="auto"/>
        <w:right w:val="none" w:sz="0" w:space="0" w:color="auto"/>
      </w:divBdr>
    </w:div>
    <w:div w:id="462817388">
      <w:bodyDiv w:val="1"/>
      <w:marLeft w:val="0"/>
      <w:marRight w:val="0"/>
      <w:marTop w:val="0"/>
      <w:marBottom w:val="0"/>
      <w:divBdr>
        <w:top w:val="none" w:sz="0" w:space="0" w:color="auto"/>
        <w:left w:val="none" w:sz="0" w:space="0" w:color="auto"/>
        <w:bottom w:val="none" w:sz="0" w:space="0" w:color="auto"/>
        <w:right w:val="none" w:sz="0" w:space="0" w:color="auto"/>
      </w:divBdr>
    </w:div>
    <w:div w:id="521437165">
      <w:bodyDiv w:val="1"/>
      <w:marLeft w:val="0"/>
      <w:marRight w:val="0"/>
      <w:marTop w:val="0"/>
      <w:marBottom w:val="0"/>
      <w:divBdr>
        <w:top w:val="none" w:sz="0" w:space="0" w:color="auto"/>
        <w:left w:val="none" w:sz="0" w:space="0" w:color="auto"/>
        <w:bottom w:val="none" w:sz="0" w:space="0" w:color="auto"/>
        <w:right w:val="none" w:sz="0" w:space="0" w:color="auto"/>
      </w:divBdr>
    </w:div>
    <w:div w:id="538123802">
      <w:bodyDiv w:val="1"/>
      <w:marLeft w:val="0"/>
      <w:marRight w:val="0"/>
      <w:marTop w:val="0"/>
      <w:marBottom w:val="0"/>
      <w:divBdr>
        <w:top w:val="none" w:sz="0" w:space="0" w:color="auto"/>
        <w:left w:val="none" w:sz="0" w:space="0" w:color="auto"/>
        <w:bottom w:val="none" w:sz="0" w:space="0" w:color="auto"/>
        <w:right w:val="none" w:sz="0" w:space="0" w:color="auto"/>
      </w:divBdr>
    </w:div>
    <w:div w:id="577636587">
      <w:bodyDiv w:val="1"/>
      <w:marLeft w:val="0"/>
      <w:marRight w:val="0"/>
      <w:marTop w:val="0"/>
      <w:marBottom w:val="0"/>
      <w:divBdr>
        <w:top w:val="none" w:sz="0" w:space="0" w:color="auto"/>
        <w:left w:val="none" w:sz="0" w:space="0" w:color="auto"/>
        <w:bottom w:val="none" w:sz="0" w:space="0" w:color="auto"/>
        <w:right w:val="none" w:sz="0" w:space="0" w:color="auto"/>
      </w:divBdr>
    </w:div>
    <w:div w:id="723066832">
      <w:bodyDiv w:val="1"/>
      <w:marLeft w:val="0"/>
      <w:marRight w:val="0"/>
      <w:marTop w:val="0"/>
      <w:marBottom w:val="0"/>
      <w:divBdr>
        <w:top w:val="none" w:sz="0" w:space="0" w:color="auto"/>
        <w:left w:val="none" w:sz="0" w:space="0" w:color="auto"/>
        <w:bottom w:val="none" w:sz="0" w:space="0" w:color="auto"/>
        <w:right w:val="none" w:sz="0" w:space="0" w:color="auto"/>
      </w:divBdr>
    </w:div>
    <w:div w:id="748577785">
      <w:bodyDiv w:val="1"/>
      <w:marLeft w:val="0"/>
      <w:marRight w:val="0"/>
      <w:marTop w:val="0"/>
      <w:marBottom w:val="0"/>
      <w:divBdr>
        <w:top w:val="none" w:sz="0" w:space="0" w:color="auto"/>
        <w:left w:val="none" w:sz="0" w:space="0" w:color="auto"/>
        <w:bottom w:val="none" w:sz="0" w:space="0" w:color="auto"/>
        <w:right w:val="none" w:sz="0" w:space="0" w:color="auto"/>
      </w:divBdr>
    </w:div>
    <w:div w:id="811287729">
      <w:bodyDiv w:val="1"/>
      <w:marLeft w:val="0"/>
      <w:marRight w:val="0"/>
      <w:marTop w:val="0"/>
      <w:marBottom w:val="0"/>
      <w:divBdr>
        <w:top w:val="none" w:sz="0" w:space="0" w:color="auto"/>
        <w:left w:val="none" w:sz="0" w:space="0" w:color="auto"/>
        <w:bottom w:val="none" w:sz="0" w:space="0" w:color="auto"/>
        <w:right w:val="none" w:sz="0" w:space="0" w:color="auto"/>
      </w:divBdr>
    </w:div>
    <w:div w:id="811949764">
      <w:bodyDiv w:val="1"/>
      <w:marLeft w:val="0"/>
      <w:marRight w:val="0"/>
      <w:marTop w:val="0"/>
      <w:marBottom w:val="0"/>
      <w:divBdr>
        <w:top w:val="none" w:sz="0" w:space="0" w:color="auto"/>
        <w:left w:val="none" w:sz="0" w:space="0" w:color="auto"/>
        <w:bottom w:val="none" w:sz="0" w:space="0" w:color="auto"/>
        <w:right w:val="none" w:sz="0" w:space="0" w:color="auto"/>
      </w:divBdr>
    </w:div>
    <w:div w:id="825588199">
      <w:bodyDiv w:val="1"/>
      <w:marLeft w:val="0"/>
      <w:marRight w:val="0"/>
      <w:marTop w:val="0"/>
      <w:marBottom w:val="0"/>
      <w:divBdr>
        <w:top w:val="none" w:sz="0" w:space="0" w:color="auto"/>
        <w:left w:val="none" w:sz="0" w:space="0" w:color="auto"/>
        <w:bottom w:val="none" w:sz="0" w:space="0" w:color="auto"/>
        <w:right w:val="none" w:sz="0" w:space="0" w:color="auto"/>
      </w:divBdr>
    </w:div>
    <w:div w:id="877427569">
      <w:bodyDiv w:val="1"/>
      <w:marLeft w:val="0"/>
      <w:marRight w:val="0"/>
      <w:marTop w:val="0"/>
      <w:marBottom w:val="0"/>
      <w:divBdr>
        <w:top w:val="none" w:sz="0" w:space="0" w:color="auto"/>
        <w:left w:val="none" w:sz="0" w:space="0" w:color="auto"/>
        <w:bottom w:val="none" w:sz="0" w:space="0" w:color="auto"/>
        <w:right w:val="none" w:sz="0" w:space="0" w:color="auto"/>
      </w:divBdr>
    </w:div>
    <w:div w:id="897978556">
      <w:bodyDiv w:val="1"/>
      <w:marLeft w:val="0"/>
      <w:marRight w:val="0"/>
      <w:marTop w:val="0"/>
      <w:marBottom w:val="0"/>
      <w:divBdr>
        <w:top w:val="none" w:sz="0" w:space="0" w:color="auto"/>
        <w:left w:val="none" w:sz="0" w:space="0" w:color="auto"/>
        <w:bottom w:val="none" w:sz="0" w:space="0" w:color="auto"/>
        <w:right w:val="none" w:sz="0" w:space="0" w:color="auto"/>
      </w:divBdr>
    </w:div>
    <w:div w:id="916591108">
      <w:bodyDiv w:val="1"/>
      <w:marLeft w:val="0"/>
      <w:marRight w:val="0"/>
      <w:marTop w:val="0"/>
      <w:marBottom w:val="0"/>
      <w:divBdr>
        <w:top w:val="none" w:sz="0" w:space="0" w:color="auto"/>
        <w:left w:val="none" w:sz="0" w:space="0" w:color="auto"/>
        <w:bottom w:val="none" w:sz="0" w:space="0" w:color="auto"/>
        <w:right w:val="none" w:sz="0" w:space="0" w:color="auto"/>
      </w:divBdr>
    </w:div>
    <w:div w:id="969867719">
      <w:bodyDiv w:val="1"/>
      <w:marLeft w:val="0"/>
      <w:marRight w:val="0"/>
      <w:marTop w:val="0"/>
      <w:marBottom w:val="0"/>
      <w:divBdr>
        <w:top w:val="none" w:sz="0" w:space="0" w:color="auto"/>
        <w:left w:val="none" w:sz="0" w:space="0" w:color="auto"/>
        <w:bottom w:val="none" w:sz="0" w:space="0" w:color="auto"/>
        <w:right w:val="none" w:sz="0" w:space="0" w:color="auto"/>
      </w:divBdr>
    </w:div>
    <w:div w:id="1028140084">
      <w:bodyDiv w:val="1"/>
      <w:marLeft w:val="0"/>
      <w:marRight w:val="0"/>
      <w:marTop w:val="0"/>
      <w:marBottom w:val="0"/>
      <w:divBdr>
        <w:top w:val="none" w:sz="0" w:space="0" w:color="auto"/>
        <w:left w:val="none" w:sz="0" w:space="0" w:color="auto"/>
        <w:bottom w:val="none" w:sz="0" w:space="0" w:color="auto"/>
        <w:right w:val="none" w:sz="0" w:space="0" w:color="auto"/>
      </w:divBdr>
    </w:div>
    <w:div w:id="1070008224">
      <w:bodyDiv w:val="1"/>
      <w:marLeft w:val="0"/>
      <w:marRight w:val="0"/>
      <w:marTop w:val="0"/>
      <w:marBottom w:val="0"/>
      <w:divBdr>
        <w:top w:val="none" w:sz="0" w:space="0" w:color="auto"/>
        <w:left w:val="none" w:sz="0" w:space="0" w:color="auto"/>
        <w:bottom w:val="none" w:sz="0" w:space="0" w:color="auto"/>
        <w:right w:val="none" w:sz="0" w:space="0" w:color="auto"/>
      </w:divBdr>
    </w:div>
    <w:div w:id="1102149038">
      <w:bodyDiv w:val="1"/>
      <w:marLeft w:val="0"/>
      <w:marRight w:val="0"/>
      <w:marTop w:val="0"/>
      <w:marBottom w:val="0"/>
      <w:divBdr>
        <w:top w:val="none" w:sz="0" w:space="0" w:color="auto"/>
        <w:left w:val="none" w:sz="0" w:space="0" w:color="auto"/>
        <w:bottom w:val="none" w:sz="0" w:space="0" w:color="auto"/>
        <w:right w:val="none" w:sz="0" w:space="0" w:color="auto"/>
      </w:divBdr>
    </w:div>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147747957">
      <w:bodyDiv w:val="1"/>
      <w:marLeft w:val="0"/>
      <w:marRight w:val="0"/>
      <w:marTop w:val="0"/>
      <w:marBottom w:val="0"/>
      <w:divBdr>
        <w:top w:val="none" w:sz="0" w:space="0" w:color="auto"/>
        <w:left w:val="none" w:sz="0" w:space="0" w:color="auto"/>
        <w:bottom w:val="none" w:sz="0" w:space="0" w:color="auto"/>
        <w:right w:val="none" w:sz="0" w:space="0" w:color="auto"/>
      </w:divBdr>
    </w:div>
    <w:div w:id="1268350803">
      <w:bodyDiv w:val="1"/>
      <w:marLeft w:val="0"/>
      <w:marRight w:val="0"/>
      <w:marTop w:val="0"/>
      <w:marBottom w:val="0"/>
      <w:divBdr>
        <w:top w:val="none" w:sz="0" w:space="0" w:color="auto"/>
        <w:left w:val="none" w:sz="0" w:space="0" w:color="auto"/>
        <w:bottom w:val="none" w:sz="0" w:space="0" w:color="auto"/>
        <w:right w:val="none" w:sz="0" w:space="0" w:color="auto"/>
      </w:divBdr>
    </w:div>
    <w:div w:id="1290283872">
      <w:bodyDiv w:val="1"/>
      <w:marLeft w:val="0"/>
      <w:marRight w:val="0"/>
      <w:marTop w:val="0"/>
      <w:marBottom w:val="0"/>
      <w:divBdr>
        <w:top w:val="none" w:sz="0" w:space="0" w:color="auto"/>
        <w:left w:val="none" w:sz="0" w:space="0" w:color="auto"/>
        <w:bottom w:val="none" w:sz="0" w:space="0" w:color="auto"/>
        <w:right w:val="none" w:sz="0" w:space="0" w:color="auto"/>
      </w:divBdr>
    </w:div>
    <w:div w:id="1309365199">
      <w:bodyDiv w:val="1"/>
      <w:marLeft w:val="0"/>
      <w:marRight w:val="0"/>
      <w:marTop w:val="0"/>
      <w:marBottom w:val="0"/>
      <w:divBdr>
        <w:top w:val="none" w:sz="0" w:space="0" w:color="auto"/>
        <w:left w:val="none" w:sz="0" w:space="0" w:color="auto"/>
        <w:bottom w:val="none" w:sz="0" w:space="0" w:color="auto"/>
        <w:right w:val="none" w:sz="0" w:space="0" w:color="auto"/>
      </w:divBdr>
    </w:div>
    <w:div w:id="1333527120">
      <w:bodyDiv w:val="1"/>
      <w:marLeft w:val="0"/>
      <w:marRight w:val="0"/>
      <w:marTop w:val="0"/>
      <w:marBottom w:val="0"/>
      <w:divBdr>
        <w:top w:val="none" w:sz="0" w:space="0" w:color="auto"/>
        <w:left w:val="none" w:sz="0" w:space="0" w:color="auto"/>
        <w:bottom w:val="none" w:sz="0" w:space="0" w:color="auto"/>
        <w:right w:val="none" w:sz="0" w:space="0" w:color="auto"/>
      </w:divBdr>
    </w:div>
    <w:div w:id="1435129237">
      <w:bodyDiv w:val="1"/>
      <w:marLeft w:val="0"/>
      <w:marRight w:val="0"/>
      <w:marTop w:val="0"/>
      <w:marBottom w:val="0"/>
      <w:divBdr>
        <w:top w:val="none" w:sz="0" w:space="0" w:color="auto"/>
        <w:left w:val="none" w:sz="0" w:space="0" w:color="auto"/>
        <w:bottom w:val="none" w:sz="0" w:space="0" w:color="auto"/>
        <w:right w:val="none" w:sz="0" w:space="0" w:color="auto"/>
      </w:divBdr>
    </w:div>
    <w:div w:id="1441560480">
      <w:bodyDiv w:val="1"/>
      <w:marLeft w:val="0"/>
      <w:marRight w:val="0"/>
      <w:marTop w:val="0"/>
      <w:marBottom w:val="0"/>
      <w:divBdr>
        <w:top w:val="none" w:sz="0" w:space="0" w:color="auto"/>
        <w:left w:val="none" w:sz="0" w:space="0" w:color="auto"/>
        <w:bottom w:val="none" w:sz="0" w:space="0" w:color="auto"/>
        <w:right w:val="none" w:sz="0" w:space="0" w:color="auto"/>
      </w:divBdr>
    </w:div>
    <w:div w:id="1443263979">
      <w:bodyDiv w:val="1"/>
      <w:marLeft w:val="0"/>
      <w:marRight w:val="0"/>
      <w:marTop w:val="0"/>
      <w:marBottom w:val="0"/>
      <w:divBdr>
        <w:top w:val="none" w:sz="0" w:space="0" w:color="auto"/>
        <w:left w:val="none" w:sz="0" w:space="0" w:color="auto"/>
        <w:bottom w:val="none" w:sz="0" w:space="0" w:color="auto"/>
        <w:right w:val="none" w:sz="0" w:space="0" w:color="auto"/>
      </w:divBdr>
    </w:div>
    <w:div w:id="1539389472">
      <w:bodyDiv w:val="1"/>
      <w:marLeft w:val="0"/>
      <w:marRight w:val="0"/>
      <w:marTop w:val="0"/>
      <w:marBottom w:val="0"/>
      <w:divBdr>
        <w:top w:val="none" w:sz="0" w:space="0" w:color="auto"/>
        <w:left w:val="none" w:sz="0" w:space="0" w:color="auto"/>
        <w:bottom w:val="none" w:sz="0" w:space="0" w:color="auto"/>
        <w:right w:val="none" w:sz="0" w:space="0" w:color="auto"/>
      </w:divBdr>
    </w:div>
    <w:div w:id="1628588127">
      <w:bodyDiv w:val="1"/>
      <w:marLeft w:val="0"/>
      <w:marRight w:val="0"/>
      <w:marTop w:val="0"/>
      <w:marBottom w:val="0"/>
      <w:divBdr>
        <w:top w:val="none" w:sz="0" w:space="0" w:color="auto"/>
        <w:left w:val="none" w:sz="0" w:space="0" w:color="auto"/>
        <w:bottom w:val="none" w:sz="0" w:space="0" w:color="auto"/>
        <w:right w:val="none" w:sz="0" w:space="0" w:color="auto"/>
      </w:divBdr>
    </w:div>
    <w:div w:id="1682314293">
      <w:bodyDiv w:val="1"/>
      <w:marLeft w:val="0"/>
      <w:marRight w:val="0"/>
      <w:marTop w:val="0"/>
      <w:marBottom w:val="0"/>
      <w:divBdr>
        <w:top w:val="none" w:sz="0" w:space="0" w:color="auto"/>
        <w:left w:val="none" w:sz="0" w:space="0" w:color="auto"/>
        <w:bottom w:val="none" w:sz="0" w:space="0" w:color="auto"/>
        <w:right w:val="none" w:sz="0" w:space="0" w:color="auto"/>
      </w:divBdr>
      <w:divsChild>
        <w:div w:id="731385768">
          <w:marLeft w:val="0"/>
          <w:marRight w:val="0"/>
          <w:marTop w:val="0"/>
          <w:marBottom w:val="0"/>
          <w:divBdr>
            <w:top w:val="none" w:sz="0" w:space="0" w:color="auto"/>
            <w:left w:val="none" w:sz="0" w:space="0" w:color="auto"/>
            <w:bottom w:val="none" w:sz="0" w:space="0" w:color="auto"/>
            <w:right w:val="none" w:sz="0" w:space="0" w:color="auto"/>
          </w:divBdr>
          <w:divsChild>
            <w:div w:id="1598368799">
              <w:marLeft w:val="0"/>
              <w:marRight w:val="0"/>
              <w:marTop w:val="0"/>
              <w:marBottom w:val="0"/>
              <w:divBdr>
                <w:top w:val="none" w:sz="0" w:space="0" w:color="auto"/>
                <w:left w:val="none" w:sz="0" w:space="0" w:color="auto"/>
                <w:bottom w:val="none" w:sz="0" w:space="0" w:color="auto"/>
                <w:right w:val="none" w:sz="0" w:space="0" w:color="auto"/>
              </w:divBdr>
            </w:div>
          </w:divsChild>
        </w:div>
        <w:div w:id="1782652289">
          <w:marLeft w:val="0"/>
          <w:marRight w:val="0"/>
          <w:marTop w:val="0"/>
          <w:marBottom w:val="0"/>
          <w:divBdr>
            <w:top w:val="none" w:sz="0" w:space="0" w:color="auto"/>
            <w:left w:val="none" w:sz="0" w:space="0" w:color="auto"/>
            <w:bottom w:val="none" w:sz="0" w:space="0" w:color="auto"/>
            <w:right w:val="none" w:sz="0" w:space="0" w:color="auto"/>
          </w:divBdr>
          <w:divsChild>
            <w:div w:id="7341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0176">
      <w:bodyDiv w:val="1"/>
      <w:marLeft w:val="0"/>
      <w:marRight w:val="0"/>
      <w:marTop w:val="0"/>
      <w:marBottom w:val="0"/>
      <w:divBdr>
        <w:top w:val="none" w:sz="0" w:space="0" w:color="auto"/>
        <w:left w:val="none" w:sz="0" w:space="0" w:color="auto"/>
        <w:bottom w:val="none" w:sz="0" w:space="0" w:color="auto"/>
        <w:right w:val="none" w:sz="0" w:space="0" w:color="auto"/>
      </w:divBdr>
    </w:div>
    <w:div w:id="1750998317">
      <w:bodyDiv w:val="1"/>
      <w:marLeft w:val="0"/>
      <w:marRight w:val="0"/>
      <w:marTop w:val="0"/>
      <w:marBottom w:val="0"/>
      <w:divBdr>
        <w:top w:val="none" w:sz="0" w:space="0" w:color="auto"/>
        <w:left w:val="none" w:sz="0" w:space="0" w:color="auto"/>
        <w:bottom w:val="none" w:sz="0" w:space="0" w:color="auto"/>
        <w:right w:val="none" w:sz="0" w:space="0" w:color="auto"/>
      </w:divBdr>
    </w:div>
    <w:div w:id="1812791818">
      <w:bodyDiv w:val="1"/>
      <w:marLeft w:val="0"/>
      <w:marRight w:val="0"/>
      <w:marTop w:val="0"/>
      <w:marBottom w:val="0"/>
      <w:divBdr>
        <w:top w:val="none" w:sz="0" w:space="0" w:color="auto"/>
        <w:left w:val="none" w:sz="0" w:space="0" w:color="auto"/>
        <w:bottom w:val="none" w:sz="0" w:space="0" w:color="auto"/>
        <w:right w:val="none" w:sz="0" w:space="0" w:color="auto"/>
      </w:divBdr>
    </w:div>
    <w:div w:id="1854565513">
      <w:bodyDiv w:val="1"/>
      <w:marLeft w:val="0"/>
      <w:marRight w:val="0"/>
      <w:marTop w:val="0"/>
      <w:marBottom w:val="0"/>
      <w:divBdr>
        <w:top w:val="none" w:sz="0" w:space="0" w:color="auto"/>
        <w:left w:val="none" w:sz="0" w:space="0" w:color="auto"/>
        <w:bottom w:val="none" w:sz="0" w:space="0" w:color="auto"/>
        <w:right w:val="none" w:sz="0" w:space="0" w:color="auto"/>
      </w:divBdr>
    </w:div>
    <w:div w:id="1875532439">
      <w:bodyDiv w:val="1"/>
      <w:marLeft w:val="0"/>
      <w:marRight w:val="0"/>
      <w:marTop w:val="0"/>
      <w:marBottom w:val="0"/>
      <w:divBdr>
        <w:top w:val="none" w:sz="0" w:space="0" w:color="auto"/>
        <w:left w:val="none" w:sz="0" w:space="0" w:color="auto"/>
        <w:bottom w:val="none" w:sz="0" w:space="0" w:color="auto"/>
        <w:right w:val="none" w:sz="0" w:space="0" w:color="auto"/>
      </w:divBdr>
    </w:div>
    <w:div w:id="1915553342">
      <w:bodyDiv w:val="1"/>
      <w:marLeft w:val="0"/>
      <w:marRight w:val="0"/>
      <w:marTop w:val="0"/>
      <w:marBottom w:val="0"/>
      <w:divBdr>
        <w:top w:val="none" w:sz="0" w:space="0" w:color="auto"/>
        <w:left w:val="none" w:sz="0" w:space="0" w:color="auto"/>
        <w:bottom w:val="none" w:sz="0" w:space="0" w:color="auto"/>
        <w:right w:val="none" w:sz="0" w:space="0" w:color="auto"/>
      </w:divBdr>
    </w:div>
    <w:div w:id="1970624695">
      <w:bodyDiv w:val="1"/>
      <w:marLeft w:val="0"/>
      <w:marRight w:val="0"/>
      <w:marTop w:val="0"/>
      <w:marBottom w:val="0"/>
      <w:divBdr>
        <w:top w:val="none" w:sz="0" w:space="0" w:color="auto"/>
        <w:left w:val="none" w:sz="0" w:space="0" w:color="auto"/>
        <w:bottom w:val="none" w:sz="0" w:space="0" w:color="auto"/>
        <w:right w:val="none" w:sz="0" w:space="0" w:color="auto"/>
      </w:divBdr>
    </w:div>
    <w:div w:id="1971201688">
      <w:bodyDiv w:val="1"/>
      <w:marLeft w:val="0"/>
      <w:marRight w:val="0"/>
      <w:marTop w:val="0"/>
      <w:marBottom w:val="0"/>
      <w:divBdr>
        <w:top w:val="none" w:sz="0" w:space="0" w:color="auto"/>
        <w:left w:val="none" w:sz="0" w:space="0" w:color="auto"/>
        <w:bottom w:val="none" w:sz="0" w:space="0" w:color="auto"/>
        <w:right w:val="none" w:sz="0" w:space="0" w:color="auto"/>
      </w:divBdr>
    </w:div>
    <w:div w:id="2086297516">
      <w:bodyDiv w:val="1"/>
      <w:marLeft w:val="0"/>
      <w:marRight w:val="0"/>
      <w:marTop w:val="0"/>
      <w:marBottom w:val="0"/>
      <w:divBdr>
        <w:top w:val="none" w:sz="0" w:space="0" w:color="auto"/>
        <w:left w:val="none" w:sz="0" w:space="0" w:color="auto"/>
        <w:bottom w:val="none" w:sz="0" w:space="0" w:color="auto"/>
        <w:right w:val="none" w:sz="0" w:space="0" w:color="auto"/>
      </w:divBdr>
    </w:div>
    <w:div w:id="2125340254">
      <w:bodyDiv w:val="1"/>
      <w:marLeft w:val="0"/>
      <w:marRight w:val="0"/>
      <w:marTop w:val="0"/>
      <w:marBottom w:val="0"/>
      <w:divBdr>
        <w:top w:val="none" w:sz="0" w:space="0" w:color="auto"/>
        <w:left w:val="none" w:sz="0" w:space="0" w:color="auto"/>
        <w:bottom w:val="none" w:sz="0" w:space="0" w:color="auto"/>
        <w:right w:val="none" w:sz="0" w:space="0" w:color="auto"/>
      </w:divBdr>
      <w:divsChild>
        <w:div w:id="1900169738">
          <w:marLeft w:val="0"/>
          <w:marRight w:val="0"/>
          <w:marTop w:val="300"/>
          <w:marBottom w:val="300"/>
          <w:divBdr>
            <w:top w:val="single" w:sz="2" w:space="0" w:color="auto"/>
            <w:left w:val="single" w:sz="2" w:space="0" w:color="auto"/>
            <w:bottom w:val="single" w:sz="2" w:space="0" w:color="auto"/>
            <w:right w:val="single" w:sz="2" w:space="0" w:color="auto"/>
          </w:divBdr>
          <w:divsChild>
            <w:div w:id="307318529">
              <w:marLeft w:val="0"/>
              <w:marRight w:val="0"/>
              <w:marTop w:val="0"/>
              <w:marBottom w:val="0"/>
              <w:divBdr>
                <w:top w:val="single" w:sz="2" w:space="0" w:color="auto"/>
                <w:left w:val="single" w:sz="2" w:space="0" w:color="auto"/>
                <w:bottom w:val="single" w:sz="2" w:space="0" w:color="auto"/>
                <w:right w:val="single" w:sz="2" w:space="0" w:color="auto"/>
              </w:divBdr>
              <w:divsChild>
                <w:div w:id="1549591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B800-F8B7-4B86-960E-CA83C82F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2766</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MALDONADO M</dc:creator>
  <cp:lastModifiedBy>Manuel Maldonado Maciel</cp:lastModifiedBy>
  <cp:revision>4</cp:revision>
  <cp:lastPrinted>2021-10-11T21:06:00Z</cp:lastPrinted>
  <dcterms:created xsi:type="dcterms:W3CDTF">2021-10-11T19:54:00Z</dcterms:created>
  <dcterms:modified xsi:type="dcterms:W3CDTF">2021-10-11T21:21:00Z</dcterms:modified>
</cp:coreProperties>
</file>