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DC" w:rsidRDefault="008D7FFA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6.3pt;margin-top:126.75pt;width:71.85pt;height:23.25pt;z-index:251659264" strokecolor="white [3212]">
            <v:textbox>
              <w:txbxContent>
                <w:p w:rsidR="0019017D" w:rsidRPr="00A1237C" w:rsidRDefault="0019017D" w:rsidP="0019017D">
                  <w:pPr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</w:pPr>
                  <w:r w:rsidRPr="00A1237C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>ID:</w:t>
                  </w:r>
                  <w:r w:rsidR="00526836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 xml:space="preserve"> </w:t>
                  </w:r>
                  <w:r w:rsidRPr="00A1237C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 xml:space="preserve"> </w:t>
                  </w:r>
                  <w:r w:rsidR="00526836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>PA-0</w:t>
                  </w:r>
                  <w:r w:rsidR="00DC3500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>14</w:t>
                  </w:r>
                </w:p>
              </w:txbxContent>
            </v:textbox>
          </v:shape>
        </w:pict>
      </w:r>
      <w:r w:rsidR="00596DDC"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DDC"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DESCRIPCION DE PUESTO</w:t>
      </w:r>
    </w:p>
    <w:p w:rsidR="00596DDC" w:rsidRDefault="00596DDC"/>
    <w:p w:rsidR="00596DDC" w:rsidRDefault="00596DDC"/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C82E2A" w:rsidTr="00596DDC">
        <w:tc>
          <w:tcPr>
            <w:tcW w:w="3227" w:type="dxa"/>
          </w:tcPr>
          <w:p w:rsidR="00C82E2A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C82E2A" w:rsidRPr="00E61C8A" w:rsidRDefault="00F26CA6" w:rsidP="003B18BF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Asesor Jurídico</w:t>
            </w:r>
          </w:p>
        </w:tc>
        <w:tc>
          <w:tcPr>
            <w:tcW w:w="6804" w:type="dxa"/>
          </w:tcPr>
          <w:p w:rsidR="00C82E2A" w:rsidRPr="00FB22C4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C82E2A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26CA6" w:rsidTr="00596DDC">
        <w:tc>
          <w:tcPr>
            <w:tcW w:w="3227" w:type="dxa"/>
          </w:tcPr>
          <w:p w:rsidR="00F26CA6" w:rsidRDefault="00F26CA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F26CA6" w:rsidRPr="00E61C8A" w:rsidRDefault="00F26CA6" w:rsidP="00DC4EF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 w:rsidRPr="005907EC">
              <w:rPr>
                <w:rFonts w:ascii="Century Gothic" w:hAnsi="Century Gothic" w:cs="Century Gothic"/>
                <w:b/>
                <w:bCs/>
                <w:sz w:val="18"/>
              </w:rPr>
              <w:t>Secretaría De Infraestructura Y Desarrollo Urbano</w:t>
            </w:r>
          </w:p>
        </w:tc>
        <w:tc>
          <w:tcPr>
            <w:tcW w:w="6804" w:type="dxa"/>
          </w:tcPr>
          <w:p w:rsidR="00F26CA6" w:rsidRPr="00FB22C4" w:rsidRDefault="00F26CA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F26CA6" w:rsidRDefault="00F26CA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26CA6" w:rsidTr="00596DDC">
        <w:tc>
          <w:tcPr>
            <w:tcW w:w="3227" w:type="dxa"/>
          </w:tcPr>
          <w:p w:rsidR="00F26CA6" w:rsidRDefault="00F26CA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F26CA6" w:rsidRPr="00E61C8A" w:rsidRDefault="00F26CA6" w:rsidP="00DC4EF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 w:rsidRPr="005907EC">
              <w:rPr>
                <w:rFonts w:ascii="Century Gothic" w:hAnsi="Century Gothic" w:cs="Century Gothic"/>
                <w:b/>
                <w:bCs/>
                <w:sz w:val="18"/>
              </w:rPr>
              <w:t>Procuraduría Ambiental Del Estado De Sonora</w:t>
            </w:r>
          </w:p>
        </w:tc>
        <w:tc>
          <w:tcPr>
            <w:tcW w:w="6804" w:type="dxa"/>
          </w:tcPr>
          <w:p w:rsidR="00F26CA6" w:rsidRPr="00FB22C4" w:rsidRDefault="00F26CA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F26CA6" w:rsidRDefault="00F26CA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26CA6" w:rsidTr="00596DDC">
        <w:tc>
          <w:tcPr>
            <w:tcW w:w="3227" w:type="dxa"/>
          </w:tcPr>
          <w:p w:rsidR="00F26CA6" w:rsidRDefault="00F26CA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F26CA6" w:rsidRPr="00E61C8A" w:rsidRDefault="00F26CA6" w:rsidP="008E290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Encargado de la Dirección General de Asuntos Jurídicos</w:t>
            </w:r>
          </w:p>
        </w:tc>
        <w:tc>
          <w:tcPr>
            <w:tcW w:w="6804" w:type="dxa"/>
          </w:tcPr>
          <w:p w:rsidR="00F26CA6" w:rsidRPr="00FB22C4" w:rsidRDefault="00F26CA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F26CA6" w:rsidRDefault="00F26CA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26CA6" w:rsidTr="00501397">
        <w:trPr>
          <w:trHeight w:val="95"/>
        </w:trPr>
        <w:tc>
          <w:tcPr>
            <w:tcW w:w="3227" w:type="dxa"/>
          </w:tcPr>
          <w:p w:rsidR="00F26CA6" w:rsidRDefault="00F26CA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F26CA6" w:rsidRPr="00E61C8A" w:rsidRDefault="00F26CA6" w:rsidP="008E290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Ninguno</w:t>
            </w:r>
          </w:p>
        </w:tc>
        <w:tc>
          <w:tcPr>
            <w:tcW w:w="6804" w:type="dxa"/>
          </w:tcPr>
          <w:p w:rsidR="00F26CA6" w:rsidRPr="00FB22C4" w:rsidRDefault="00F26CA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F26CA6" w:rsidRDefault="00F26CA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Century Gothic"/>
          <w:iCs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Content>
        <w:p w:rsidR="00D82951" w:rsidRDefault="00F26CA6" w:rsidP="00F26CA6">
          <w:pPr>
            <w:jc w:val="both"/>
          </w:pPr>
          <w:r w:rsidRPr="00F26CA6">
            <w:rPr>
              <w:rFonts w:ascii="Century Gothic" w:hAnsi="Century Gothic" w:cs="Century Gothic"/>
              <w:iCs/>
              <w:sz w:val="18"/>
              <w:szCs w:val="18"/>
            </w:rPr>
            <w:t>Atender los asuntos que le designe el Director General de Asuntos Jurídicos en materia de Derecho Ambiental, Procesal Administrativo y demás, realizando estas funciones con total profesionalismo y ética inherente al Servidor Público, una característica principal del puesto es realizar un análisis empírico y dar respuesta a las Demandas de Juicios de Nulidad Administrativa de forma eficiente y con pleno apego al Principio de Legalidad, y de Debido Proceso, además, el Asesor Jurídico da tramite y respuesta en tiempo y forma a los Medios de Impugnación, (tales como el Recurso de Inconformidad), interpuestos por los particulares dentro del Procedimiento Administrativo.</w:t>
          </w:r>
          <w:r>
            <w:rPr>
              <w:rFonts w:ascii="Century Gothic" w:hAnsi="Century Gothic" w:cs="Century Gothic"/>
              <w:iCs/>
              <w:sz w:val="18"/>
              <w:szCs w:val="18"/>
            </w:rPr>
            <w:t xml:space="preserve"> </w:t>
          </w:r>
          <w:r w:rsidRPr="00F26CA6">
            <w:rPr>
              <w:rFonts w:ascii="Century Gothic" w:hAnsi="Century Gothic" w:cs="Century Gothic"/>
              <w:iCs/>
              <w:sz w:val="18"/>
              <w:szCs w:val="18"/>
            </w:rPr>
            <w:t>El Asesor Jurídico tiene como función el coadyuvar con el Director General de Asuntos Jurídicos en la elaboración de Contratos, Convenios, y demás documentos de índole jurídica, así mismo, es función del Asesor Jurídico el analizar las reformas a las Diversas Leyes, Reglamentos y Circulares para poder compartir su interpretación a sus demás compañeros de trabajo.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"/>
        <w:gridCol w:w="7853"/>
      </w:tblGrid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:rsidR="00D82951" w:rsidRPr="00F26CA6" w:rsidRDefault="00F26CA6" w:rsidP="003B18BF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Cs/>
                <w:sz w:val="18"/>
              </w:rPr>
            </w:pPr>
            <w:r w:rsidRPr="00F26CA6">
              <w:rPr>
                <w:rFonts w:ascii="Century Gothic" w:hAnsi="Century Gothic" w:cs="Century Gothic"/>
                <w:bCs/>
                <w:sz w:val="18"/>
              </w:rPr>
              <w:t>Dar respuesta en tiempo y forma a las Demandas de Juicio de Nulidad Fiscal y Administrativa.</w:t>
            </w:r>
          </w:p>
        </w:tc>
      </w:tr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:rsidR="00D82951" w:rsidRPr="00113743" w:rsidRDefault="00F26CA6" w:rsidP="00F26CA6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F26CA6">
              <w:rPr>
                <w:rFonts w:ascii="Century Gothic" w:hAnsi="Century Gothic" w:cs="Century Gothic"/>
                <w:bCs/>
                <w:sz w:val="18"/>
                <w:szCs w:val="18"/>
              </w:rPr>
              <w:t>Dar respuesta en tiempo y forma a los Medios de Impugnación interpuestos dentro del Procedimiento Administrativo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.</w:t>
            </w:r>
          </w:p>
        </w:tc>
      </w:tr>
      <w:tr w:rsidR="00D82951" w:rsidTr="00D82951">
        <w:tc>
          <w:tcPr>
            <w:tcW w:w="526" w:type="dxa"/>
          </w:tcPr>
          <w:p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:rsidR="00D82951" w:rsidRPr="00640111" w:rsidRDefault="00F26CA6" w:rsidP="00501397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F26CA6">
              <w:rPr>
                <w:rFonts w:ascii="Century Gothic" w:hAnsi="Century Gothic" w:cs="Century Gothic"/>
                <w:bCs/>
                <w:sz w:val="18"/>
                <w:szCs w:val="18"/>
              </w:rPr>
              <w:t>Coadyuvar en la elaboración de Contratos, Convenios y demás documentos en materia legal.</w:t>
            </w:r>
          </w:p>
        </w:tc>
      </w:tr>
      <w:tr w:rsidR="00501397" w:rsidTr="00D82951">
        <w:tc>
          <w:tcPr>
            <w:tcW w:w="526" w:type="dxa"/>
          </w:tcPr>
          <w:p w:rsidR="00501397" w:rsidRPr="00640111" w:rsidRDefault="00AB0D6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7853" w:type="dxa"/>
          </w:tcPr>
          <w:p w:rsidR="00501397" w:rsidRPr="00501397" w:rsidRDefault="00F26CA6" w:rsidP="00F26CA6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F26CA6">
              <w:rPr>
                <w:rFonts w:ascii="Century Gothic" w:hAnsi="Century Gothic" w:cs="Century Gothic"/>
                <w:bCs/>
                <w:sz w:val="18"/>
                <w:szCs w:val="18"/>
              </w:rPr>
              <w:t>Estar en constante actualización en cuanto a Leyes, Reglamentos y Circulares para poder compartir sus conocimientos con los demás compañeros de trabajo.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</w:tc>
        <w:tc>
          <w:tcPr>
            <w:tcW w:w="7853" w:type="dxa"/>
          </w:tcPr>
          <w:p w:rsidR="00E11E06" w:rsidRPr="00501397" w:rsidRDefault="00F26CA6" w:rsidP="00F26CA6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F26CA6">
              <w:rPr>
                <w:rFonts w:ascii="Century Gothic" w:hAnsi="Century Gothic" w:cs="Century Gothic"/>
                <w:bCs/>
                <w:sz w:val="18"/>
                <w:szCs w:val="18"/>
              </w:rPr>
              <w:t>Estudiar y analizar los Acuerdos y Resoluciones emitidos por la Dirección General de Inspección y Vigilancia para verificar si cuentan con pleno apego al Principio de Legalidad y de Debido Proceso.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4"/>
        <w:gridCol w:w="673"/>
        <w:gridCol w:w="6678"/>
      </w:tblGrid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:rsidR="00635591" w:rsidRPr="00501397" w:rsidRDefault="00F26CA6" w:rsidP="00F26CA6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F26CA6">
              <w:rPr>
                <w:rFonts w:ascii="Century Gothic" w:hAnsi="Century Gothic" w:cs="Century Gothic"/>
                <w:sz w:val="18"/>
                <w:szCs w:val="18"/>
              </w:rPr>
              <w:t>Director General de Asuntos Jurídicos: Para recibir órdenes y coadyuvar en relación a  elaboración de diversos documentos en materia jurídica.</w:t>
            </w: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F26CA6" w:rsidP="00F26CA6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F26CA6">
              <w:rPr>
                <w:rFonts w:ascii="Century Gothic" w:hAnsi="Century Gothic" w:cs="Century Gothic"/>
                <w:sz w:val="18"/>
                <w:szCs w:val="18"/>
              </w:rPr>
              <w:t>Director General de Inspección y Vigilancia: Para mejorar constantemente los documentos consistentes en Acuerdos y Resoluciones expedidas por dicha Dirección General de Inspección y Vigilancia.</w:t>
            </w:r>
          </w:p>
          <w:p w:rsidR="00F26CA6" w:rsidRDefault="00F26CA6" w:rsidP="00F26CA6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lastRenderedPageBreak/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:rsidR="00635591" w:rsidRPr="00501397" w:rsidRDefault="00F26CA6" w:rsidP="00F26CA6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F26CA6">
              <w:rPr>
                <w:rFonts w:ascii="Century Gothic" w:hAnsi="Century Gothic" w:cs="Century Gothic"/>
                <w:sz w:val="18"/>
                <w:szCs w:val="18"/>
              </w:rPr>
              <w:t>Con la ciudadanía en General: El Asesor Jurídico debe brindar asesoría en materia de Derecho Ambiental y Derecho Administrativo a cualquier Ciudadano que se presente en sus oficinas con el fin de solventar alguna duda al respecto.</w:t>
            </w:r>
          </w:p>
        </w:tc>
      </w:tr>
      <w:tr w:rsidR="001E4C73" w:rsidTr="00635591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F26CA6" w:rsidP="00F26CA6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F26CA6">
              <w:rPr>
                <w:rFonts w:ascii="Century Gothic" w:hAnsi="Century Gothic" w:cs="Century Gothic"/>
                <w:sz w:val="18"/>
                <w:szCs w:val="18"/>
              </w:rPr>
              <w:t>Con los empleados de distintos Órdenes de Gobierno: El Asesor Jurídico debe relacionarse adecuadamente con otros Funcionarios Públicos con el fin de facilitar los canales de comunicación y así optimizar los resultados en materia de entrega – recepción de distintos documentos públicos en razón de relaciones que se puedan generar con otros Ordenes de Gobierno.</w:t>
            </w:r>
          </w:p>
        </w:tc>
      </w:tr>
    </w:tbl>
    <w:p w:rsidR="00D82951" w:rsidRDefault="00D82951"/>
    <w:p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7923"/>
      </w:tblGrid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:rsidR="00F651D3" w:rsidRPr="002C52EF" w:rsidRDefault="00F26CA6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F26CA6">
              <w:rPr>
                <w:rFonts w:ascii="Century Gothic" w:hAnsi="Century Gothic" w:cs="Century Gothic"/>
                <w:sz w:val="18"/>
                <w:szCs w:val="18"/>
              </w:rPr>
              <w:t>A través de las Demandas de Juicios de Nulidad recibidas y contestadas en tiempo y forma.</w:t>
            </w:r>
          </w:p>
        </w:tc>
      </w:tr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923" w:type="dxa"/>
          </w:tcPr>
          <w:p w:rsidR="00F651D3" w:rsidRPr="002C52EF" w:rsidRDefault="00F26CA6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F26CA6">
              <w:rPr>
                <w:rFonts w:ascii="Century Gothic" w:hAnsi="Century Gothic" w:cs="Century Gothic"/>
                <w:sz w:val="18"/>
                <w:szCs w:val="18"/>
              </w:rPr>
              <w:t>A través de los Medios de Impugnación recibidos, y solventados en tiempo y forma.</w:t>
            </w:r>
          </w:p>
        </w:tc>
      </w:tr>
      <w:tr w:rsidR="001E4C73" w:rsidTr="00F651D3">
        <w:tc>
          <w:tcPr>
            <w:tcW w:w="456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923" w:type="dxa"/>
          </w:tcPr>
          <w:p w:rsidR="001E4C73" w:rsidRDefault="00F26CA6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F26CA6">
              <w:rPr>
                <w:rFonts w:ascii="Century Gothic" w:hAnsi="Century Gothic" w:cs="Century Gothic"/>
                <w:sz w:val="18"/>
                <w:szCs w:val="18"/>
              </w:rPr>
              <w:t>A través de las solicitudes de información pública recibidas y respondidas en tiempo y forma.</w:t>
            </w: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Femenino" w:value="Femenino"/>
              <w:listItem w:displayText="Masculino" w:value="Masculino"/>
            </w:dropDownList>
          </w:sdtPr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F26CA6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24 a 65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F26CA6">
            <w:rPr>
              <w:rFonts w:ascii="Century Gothic" w:hAnsi="Century Gothic" w:cs="Century Gothic"/>
              <w:sz w:val="18"/>
              <w:szCs w:val="18"/>
            </w:rPr>
            <w:t>Maestría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</w:t>
      </w:r>
      <w:sdt>
        <w:sdtPr>
          <w:rPr>
            <w:rFonts w:ascii="Century Gothic" w:eastAsia="Times New Roman" w:hAnsi="Century Gothic" w:cs="Century Gothic"/>
            <w:b/>
            <w:bCs/>
            <w:sz w:val="18"/>
            <w:szCs w:val="18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Content>
          <w:r w:rsidR="00F26CA6" w:rsidRPr="00F26CA6">
            <w:rPr>
              <w:rFonts w:ascii="Century Gothic" w:eastAsia="Times New Roman" w:hAnsi="Century Gothic" w:cs="Century Gothic"/>
              <w:b/>
              <w:bCs/>
              <w:sz w:val="18"/>
              <w:szCs w:val="18"/>
            </w:rPr>
            <w:t>Licenciatura en Derecho</w:t>
          </w:r>
        </w:sdtContent>
      </w:sdt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F26CA6">
        <w:rPr>
          <w:rFonts w:ascii="Century Gothic" w:hAnsi="Century Gothic" w:cs="Century Gothic"/>
          <w:b/>
          <w:bCs/>
          <w:sz w:val="18"/>
          <w:szCs w:val="18"/>
        </w:rPr>
        <w:t>Indistinto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E66C27" w:rsidRDefault="00467CD3" w:rsidP="00F26CA6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E66C27">
        <w:rPr>
          <w:rFonts w:ascii="Century Gothic" w:hAnsi="Century Gothic" w:cs="Century Gothic"/>
          <w:sz w:val="18"/>
          <w:szCs w:val="18"/>
        </w:rPr>
        <w:t>1</w:t>
      </w:r>
      <w:r w:rsidR="008564CA">
        <w:rPr>
          <w:rFonts w:ascii="Century Gothic" w:hAnsi="Century Gothic" w:cs="Century Gothic"/>
          <w:sz w:val="18"/>
          <w:szCs w:val="18"/>
        </w:rPr>
        <w:t xml:space="preserve"> año en </w:t>
      </w:r>
      <w:r w:rsidR="00F26CA6">
        <w:rPr>
          <w:rFonts w:ascii="Century Gothic" w:hAnsi="Century Gothic" w:cs="Century Gothic"/>
          <w:sz w:val="18"/>
          <w:szCs w:val="18"/>
        </w:rPr>
        <w:t xml:space="preserve">el área de </w:t>
      </w:r>
      <w:r w:rsidR="00F26CA6" w:rsidRPr="00F26CA6">
        <w:rPr>
          <w:rFonts w:ascii="Century Gothic" w:hAnsi="Century Gothic" w:cs="Century Gothic"/>
          <w:sz w:val="18"/>
          <w:szCs w:val="18"/>
        </w:rPr>
        <w:t>Trabajo Jurídico de campo, (Litigio u otros), en materia Procesal</w:t>
      </w:r>
      <w:r w:rsidR="00F26CA6">
        <w:rPr>
          <w:rFonts w:ascii="Century Gothic" w:hAnsi="Century Gothic" w:cs="Century Gothic"/>
          <w:sz w:val="18"/>
          <w:szCs w:val="18"/>
        </w:rPr>
        <w:t>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Content>
        <w:p w:rsidR="007B162C" w:rsidRDefault="00F26CA6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Desempeño básico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Content>
        <w:p w:rsidR="002B4AA2" w:rsidRDefault="00F26CA6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Content>
        <w:p w:rsidR="007B162C" w:rsidRDefault="00F26CA6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Content>
        <w:p w:rsidR="008F4088" w:rsidRDefault="00F26CA6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Integración de varias Unidades /Áreas funcionales de una Dependencia / Secretaría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F26CA6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F26CA6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Content>
        <w:p w:rsidR="008F4088" w:rsidRDefault="00DF5284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DF5284">
            <w:rPr>
              <w:rFonts w:ascii="Century Gothic" w:hAnsi="Century Gothic" w:cs="Century Gothic"/>
              <w:bCs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Content>
        <w:p w:rsidR="008F4088" w:rsidRDefault="008B796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Content>
        <w:p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Content>
        <w:p w:rsidR="00596DDC" w:rsidRDefault="008564C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F26CA6" w:rsidRDefault="00F26CA6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Content>
        <w:p w:rsidR="00596DDC" w:rsidRDefault="00F26CA6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Situaciones muy complejas que demandan pensamiento especulativo y de alto contenido original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sz w:val="18"/>
          <w:szCs w:val="18"/>
        </w:rPr>
        <w:id w:val="8874574"/>
        <w:placeholder>
          <w:docPart w:val="DefaultPlaceholder_22675704"/>
        </w:placeholder>
        <w:comboBox>
          <w:listItem w:value="Elija un elemento."/>
          <w:listItem w:displayText="Instrucciones precisas y detalladas en tareas simples; la supervisión recibida es directa" w:value="Instrucciones precisas y detalladas en tareas simples; la supervisión recibida es directa"/>
          <w:listItem w:displayText="Rutinas sencillas e instrucciones generales. Se revisan sus resultados dentro de la jornada o en intervalos de pocas horas" w:value="Rutinas sencillas e instrucciones generales. Se revisan sus resultados dentro de la jornada o en intervalos de pocas horas"/>
          <w:listItem w:displayText="Rutinas relativamente complejas bajo prácticas estandarizadas y/o procedimientos establecidos  Por lo general, los resultados del puesto se revisan al final de la jornada ó en períodos cortos" w:value="Rutinas relativamente complejas bajo prácticas estandarizadas y/o procedimientos establecidos  Por lo general, los resultados del puesto se revisan al final de la jornada ó en períodos cortos"/>
          <w:listItem w:displayText="Procedimientos e instrucciones generales. Puede ordenar la secuencia pero no cambiar los procedimientos. Los períodos de supervisión pueden ocurrir en el término de varios días" w:value="Procedimientos e instrucciones generales. Puede ordenar la secuencia pero no cambiar los procedimientos. Los períodos de supervisión pueden ocurrir en el término de varios días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" w:value="Programas establecidos / procedimientos amplios. El titular toma las decisiones para que los resultados se logren, corrigiendo desviaciones y destrabando obstáculos. Aunque informa con frecuencia, sus resultados son evaluables en períodos de pocas semanas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 programas genéricos para alguna área / Unidad principal, y establece las tácticas para su manejo. La supervisión recibida es holgada. Sus resultados s" w:value="Metas. En el marco de los Planes de gobierno y de los lineamientos del Gobernador, el titular define los  programas genéricos para alguna área / Unidad principal, y establece las tácticas para su manejo. La supervisión recibida es holgada. Sus resultados s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" w:value="Misión organizacional. Corresponde al Primer Ejecutivo de la Entidad. Dentro de sus atribuciones, está el modificar el objetivo social y político del Plan de Gobierno e instrumentos de ejecución asociados"/>
        </w:comboBox>
      </w:sdtPr>
      <w:sdtContent>
        <w:p w:rsidR="005059B1" w:rsidRDefault="00F26CA6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sz w:val="18"/>
              <w:szCs w:val="18"/>
            </w:rPr>
            <w:t>Procedimientos e instrucciones generales. Puede ordenar la secuencia pero no cambiar los procedimientos. Los períodos de supervisión pueden ocurrir en el término de varios días</w:t>
          </w:r>
        </w:p>
      </w:sdtContent>
    </w:sdt>
    <w:p w:rsidR="00596DDC" w:rsidRP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D46688">
        <w:rPr>
          <w:rFonts w:ascii="Century Gothic" w:hAnsi="Century Gothic" w:cs="Century Gothic"/>
          <w:sz w:val="18"/>
          <w:szCs w:val="18"/>
        </w:rPr>
        <w:t xml:space="preserve">                                                           Información aprobada por: 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:rsidR="00596DDC" w:rsidRPr="008564CA" w:rsidRDefault="00F26CA6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F26CA6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Asesor Jurídico</w:t>
            </w: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:rsidR="00596DDC" w:rsidRDefault="00F26CA6" w:rsidP="008564C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F26CA6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Encargado de la Dirección General de Asuntos Jurídicos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624" w:rsidRDefault="002F1624" w:rsidP="0068032F">
      <w:pPr>
        <w:spacing w:after="0" w:line="240" w:lineRule="auto"/>
      </w:pPr>
      <w:r>
        <w:separator/>
      </w:r>
    </w:p>
  </w:endnote>
  <w:endnote w:type="continuationSeparator" w:id="1">
    <w:p w:rsidR="002F1624" w:rsidRDefault="002F1624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altName w:val="Malgun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CA0" w:rsidRDefault="00F26CA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F26CA6">
      <w:rPr>
        <w:rFonts w:asciiTheme="majorHAnsi" w:hAnsiTheme="majorHAnsi"/>
        <w:b/>
        <w:bCs/>
      </w:rPr>
      <w:t>Asesor Jurídico</w:t>
    </w:r>
    <w:r w:rsidRPr="00F26CA6">
      <w:rPr>
        <w:rFonts w:asciiTheme="majorHAnsi" w:hAnsiTheme="majorHAnsi"/>
      </w:rPr>
      <w:t xml:space="preserve"> </w:t>
    </w:r>
    <w:r w:rsidR="00552CA0">
      <w:rPr>
        <w:rFonts w:asciiTheme="majorHAnsi" w:hAnsiTheme="majorHAnsi"/>
      </w:rPr>
      <w:ptab w:relativeTo="margin" w:alignment="right" w:leader="none"/>
    </w:r>
    <w:r w:rsidR="00552CA0">
      <w:rPr>
        <w:rFonts w:asciiTheme="majorHAnsi" w:hAnsiTheme="majorHAnsi"/>
      </w:rPr>
      <w:t xml:space="preserve">Página </w:t>
    </w:r>
    <w:fldSimple w:instr=" PAGE   \* MERGEFORMAT ">
      <w:r w:rsidRPr="00F26CA6">
        <w:rPr>
          <w:rFonts w:asciiTheme="majorHAnsi" w:hAnsiTheme="majorHAnsi"/>
          <w:noProof/>
        </w:rPr>
        <w:t>4</w:t>
      </w:r>
    </w:fldSimple>
  </w:p>
  <w:p w:rsidR="00552CA0" w:rsidRDefault="00552C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624" w:rsidRDefault="002F1624" w:rsidP="0068032F">
      <w:pPr>
        <w:spacing w:after="0" w:line="240" w:lineRule="auto"/>
      </w:pPr>
      <w:r>
        <w:separator/>
      </w:r>
    </w:p>
  </w:footnote>
  <w:footnote w:type="continuationSeparator" w:id="1">
    <w:p w:rsidR="002F1624" w:rsidRDefault="002F1624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CA0" w:rsidRDefault="008D7FFA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52CA0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552CA0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7-06-29T00:00:00Z">
          <w:dateFormat w:val="d 'de' MMMM 'de' yyyy"/>
          <w:lid w:val="es-ES"/>
          <w:storeMappedDataAs w:val="dateTime"/>
          <w:calendar w:val="gregorian"/>
        </w:date>
      </w:sdtPr>
      <w:sdtContent>
        <w:r w:rsidR="00D7478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29 de junio de 2017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951"/>
    <w:rsid w:val="000569CE"/>
    <w:rsid w:val="0007300F"/>
    <w:rsid w:val="000770D5"/>
    <w:rsid w:val="000B7DAA"/>
    <w:rsid w:val="0010290A"/>
    <w:rsid w:val="00102BBD"/>
    <w:rsid w:val="001146C1"/>
    <w:rsid w:val="00162298"/>
    <w:rsid w:val="0017200E"/>
    <w:rsid w:val="0019017D"/>
    <w:rsid w:val="001A186D"/>
    <w:rsid w:val="001D40CD"/>
    <w:rsid w:val="001E490E"/>
    <w:rsid w:val="001E4C73"/>
    <w:rsid w:val="002329C1"/>
    <w:rsid w:val="00272361"/>
    <w:rsid w:val="002A0B12"/>
    <w:rsid w:val="002A1F54"/>
    <w:rsid w:val="002A22A9"/>
    <w:rsid w:val="002B4AA2"/>
    <w:rsid w:val="002C52EF"/>
    <w:rsid w:val="002D730C"/>
    <w:rsid w:val="002F1624"/>
    <w:rsid w:val="003165E9"/>
    <w:rsid w:val="00324EC8"/>
    <w:rsid w:val="003463A3"/>
    <w:rsid w:val="003473D1"/>
    <w:rsid w:val="00364C41"/>
    <w:rsid w:val="003862D3"/>
    <w:rsid w:val="003957D1"/>
    <w:rsid w:val="003B18BF"/>
    <w:rsid w:val="003E4A62"/>
    <w:rsid w:val="00414543"/>
    <w:rsid w:val="00414DBB"/>
    <w:rsid w:val="00461D3D"/>
    <w:rsid w:val="0046664C"/>
    <w:rsid w:val="00467CD3"/>
    <w:rsid w:val="004B1B63"/>
    <w:rsid w:val="004D107A"/>
    <w:rsid w:val="00501397"/>
    <w:rsid w:val="005059B1"/>
    <w:rsid w:val="00526836"/>
    <w:rsid w:val="00533E9E"/>
    <w:rsid w:val="005411F0"/>
    <w:rsid w:val="00552CA0"/>
    <w:rsid w:val="0056174E"/>
    <w:rsid w:val="00587D14"/>
    <w:rsid w:val="00595F56"/>
    <w:rsid w:val="00596DDC"/>
    <w:rsid w:val="005A1775"/>
    <w:rsid w:val="005A4387"/>
    <w:rsid w:val="005B1A47"/>
    <w:rsid w:val="005C54F0"/>
    <w:rsid w:val="005D5B9B"/>
    <w:rsid w:val="005F1F14"/>
    <w:rsid w:val="006254C6"/>
    <w:rsid w:val="00635591"/>
    <w:rsid w:val="00655703"/>
    <w:rsid w:val="0068032F"/>
    <w:rsid w:val="0068759E"/>
    <w:rsid w:val="006F5BDE"/>
    <w:rsid w:val="007215AC"/>
    <w:rsid w:val="007308F7"/>
    <w:rsid w:val="00745646"/>
    <w:rsid w:val="00752890"/>
    <w:rsid w:val="00771741"/>
    <w:rsid w:val="007800A5"/>
    <w:rsid w:val="007B162C"/>
    <w:rsid w:val="007E7F34"/>
    <w:rsid w:val="00817409"/>
    <w:rsid w:val="00840A30"/>
    <w:rsid w:val="008564CA"/>
    <w:rsid w:val="008B5D6D"/>
    <w:rsid w:val="008B7963"/>
    <w:rsid w:val="008D3EB6"/>
    <w:rsid w:val="008D7FFA"/>
    <w:rsid w:val="008E33AC"/>
    <w:rsid w:val="008E53FE"/>
    <w:rsid w:val="008F4088"/>
    <w:rsid w:val="009231B6"/>
    <w:rsid w:val="00984B0E"/>
    <w:rsid w:val="009855C9"/>
    <w:rsid w:val="009A1C1C"/>
    <w:rsid w:val="009C2ECB"/>
    <w:rsid w:val="009D14F5"/>
    <w:rsid w:val="009E7D30"/>
    <w:rsid w:val="009F09D3"/>
    <w:rsid w:val="009F18E3"/>
    <w:rsid w:val="009F460C"/>
    <w:rsid w:val="00A36157"/>
    <w:rsid w:val="00A46369"/>
    <w:rsid w:val="00A939BB"/>
    <w:rsid w:val="00AA590E"/>
    <w:rsid w:val="00AB0D64"/>
    <w:rsid w:val="00AF3BE8"/>
    <w:rsid w:val="00B01866"/>
    <w:rsid w:val="00B12FBF"/>
    <w:rsid w:val="00B31B59"/>
    <w:rsid w:val="00B37EAF"/>
    <w:rsid w:val="00B40EA5"/>
    <w:rsid w:val="00B50296"/>
    <w:rsid w:val="00B8777B"/>
    <w:rsid w:val="00BA1EA7"/>
    <w:rsid w:val="00BD3678"/>
    <w:rsid w:val="00C25AB6"/>
    <w:rsid w:val="00C527EA"/>
    <w:rsid w:val="00C75C13"/>
    <w:rsid w:val="00C82E2A"/>
    <w:rsid w:val="00CC5912"/>
    <w:rsid w:val="00D04C26"/>
    <w:rsid w:val="00D16940"/>
    <w:rsid w:val="00D46688"/>
    <w:rsid w:val="00D56A30"/>
    <w:rsid w:val="00D74784"/>
    <w:rsid w:val="00D76BC6"/>
    <w:rsid w:val="00D82951"/>
    <w:rsid w:val="00DC3500"/>
    <w:rsid w:val="00DD3587"/>
    <w:rsid w:val="00DF5284"/>
    <w:rsid w:val="00E02D7C"/>
    <w:rsid w:val="00E032D5"/>
    <w:rsid w:val="00E11E06"/>
    <w:rsid w:val="00E30C21"/>
    <w:rsid w:val="00E3528C"/>
    <w:rsid w:val="00E57749"/>
    <w:rsid w:val="00E66C27"/>
    <w:rsid w:val="00E743E5"/>
    <w:rsid w:val="00E81AE7"/>
    <w:rsid w:val="00EB437B"/>
    <w:rsid w:val="00ED16C5"/>
    <w:rsid w:val="00F26CA6"/>
    <w:rsid w:val="00F50DD9"/>
    <w:rsid w:val="00F651D3"/>
    <w:rsid w:val="00F8262B"/>
    <w:rsid w:val="00FD60DD"/>
    <w:rsid w:val="00FE0B68"/>
    <w:rsid w:val="00FE6340"/>
    <w:rsid w:val="00FF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altName w:val="Malgun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A7B83"/>
    <w:rsid w:val="000810BE"/>
    <w:rsid w:val="000B65D7"/>
    <w:rsid w:val="000C00CA"/>
    <w:rsid w:val="001A7B83"/>
    <w:rsid w:val="001F6E9A"/>
    <w:rsid w:val="002D2F23"/>
    <w:rsid w:val="003071F5"/>
    <w:rsid w:val="003438DC"/>
    <w:rsid w:val="003561F2"/>
    <w:rsid w:val="00387DA9"/>
    <w:rsid w:val="00424979"/>
    <w:rsid w:val="004D16AA"/>
    <w:rsid w:val="00555C22"/>
    <w:rsid w:val="005D73DF"/>
    <w:rsid w:val="006375AA"/>
    <w:rsid w:val="006E5DB5"/>
    <w:rsid w:val="00781C84"/>
    <w:rsid w:val="007B326F"/>
    <w:rsid w:val="007D69C2"/>
    <w:rsid w:val="00815D56"/>
    <w:rsid w:val="008A6063"/>
    <w:rsid w:val="008B6B2E"/>
    <w:rsid w:val="009457DC"/>
    <w:rsid w:val="00966091"/>
    <w:rsid w:val="00A605D5"/>
    <w:rsid w:val="00B40348"/>
    <w:rsid w:val="00B6277F"/>
    <w:rsid w:val="00B94B75"/>
    <w:rsid w:val="00BA4272"/>
    <w:rsid w:val="00BB70D5"/>
    <w:rsid w:val="00BD2483"/>
    <w:rsid w:val="00C47519"/>
    <w:rsid w:val="00C50242"/>
    <w:rsid w:val="00CC2FAC"/>
    <w:rsid w:val="00D6429C"/>
    <w:rsid w:val="00DC6E9C"/>
    <w:rsid w:val="00DD244B"/>
    <w:rsid w:val="00E66CBA"/>
    <w:rsid w:val="00E85809"/>
    <w:rsid w:val="00EA188E"/>
    <w:rsid w:val="00F222FA"/>
    <w:rsid w:val="00F24C87"/>
    <w:rsid w:val="00F30C85"/>
    <w:rsid w:val="00F35C8D"/>
    <w:rsid w:val="00F46CC5"/>
    <w:rsid w:val="00F6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7FE158-BB6B-492A-9A7E-02D040B8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919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Practicas</cp:lastModifiedBy>
  <cp:revision>36</cp:revision>
  <dcterms:created xsi:type="dcterms:W3CDTF">2016-10-21T21:26:00Z</dcterms:created>
  <dcterms:modified xsi:type="dcterms:W3CDTF">2017-07-03T20:33:00Z</dcterms:modified>
</cp:coreProperties>
</file>