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1" w:rsidRDefault="00B20C91" w:rsidP="00B20C9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20C91">
        <w:rPr>
          <w:rFonts w:ascii="Arial" w:hAnsi="Arial" w:cs="Arial"/>
          <w:b/>
          <w:sz w:val="32"/>
          <w:szCs w:val="32"/>
        </w:rPr>
        <w:t>Procedimiento para interponer Recurso de Revisión</w:t>
      </w:r>
    </w:p>
    <w:bookmarkEnd w:id="0"/>
    <w:p w:rsidR="00B20C91" w:rsidRPr="00B20C91" w:rsidRDefault="00B20C91" w:rsidP="00B20C91">
      <w:pPr>
        <w:jc w:val="both"/>
        <w:rPr>
          <w:rFonts w:ascii="Arial" w:hAnsi="Arial" w:cs="Arial"/>
          <w:b/>
          <w:sz w:val="32"/>
          <w:szCs w:val="32"/>
        </w:rPr>
      </w:pPr>
    </w:p>
    <w:p w:rsidR="00B20C91" w:rsidRDefault="00B20C91" w:rsidP="00B20C91">
      <w:pPr>
        <w:jc w:val="both"/>
        <w:rPr>
          <w:rFonts w:ascii="Arial" w:hAnsi="Arial" w:cs="Arial"/>
          <w:b/>
          <w:sz w:val="28"/>
          <w:szCs w:val="28"/>
        </w:rPr>
      </w:pPr>
      <w:r w:rsidRPr="00B20C91">
        <w:rPr>
          <w:rFonts w:ascii="Arial" w:hAnsi="Arial" w:cs="Arial"/>
          <w:b/>
          <w:sz w:val="28"/>
          <w:szCs w:val="28"/>
        </w:rPr>
        <w:t>Recurso de revisión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8"/>
          <w:szCs w:val="28"/>
        </w:rPr>
      </w:pP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Los particulares pueden interponer ante el Instituto de Transparencia Informativa del Estado de</w:t>
      </w:r>
      <w:r>
        <w:rPr>
          <w:rFonts w:ascii="Arial" w:hAnsi="Arial" w:cs="Arial"/>
          <w:b/>
          <w:sz w:val="24"/>
          <w:szCs w:val="24"/>
        </w:rPr>
        <w:t xml:space="preserve"> Sonora el recurso de revisión </w:t>
      </w:r>
      <w:r w:rsidRPr="00B20C91">
        <w:rPr>
          <w:rFonts w:ascii="Arial" w:hAnsi="Arial" w:cs="Arial"/>
          <w:b/>
          <w:sz w:val="24"/>
          <w:szCs w:val="24"/>
        </w:rPr>
        <w:t>contra los actos u omisiones de los sujetos obligados –es decir, contra la negativa de proporcionar información pública- dentro d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B20C91">
        <w:rPr>
          <w:rFonts w:ascii="Arial" w:hAnsi="Arial" w:cs="Arial"/>
          <w:b/>
          <w:sz w:val="24"/>
          <w:szCs w:val="24"/>
        </w:rPr>
        <w:t>los 15 días hábiles siguientes a la fecha de la notificación del acto, o de la fecha en que s</w:t>
      </w:r>
      <w:r>
        <w:rPr>
          <w:rFonts w:ascii="Arial" w:hAnsi="Arial" w:cs="Arial"/>
          <w:b/>
          <w:sz w:val="24"/>
          <w:szCs w:val="24"/>
        </w:rPr>
        <w:t xml:space="preserve">e haya tenido conocimiento del  </w:t>
      </w:r>
      <w:r w:rsidRPr="00B20C91">
        <w:rPr>
          <w:rFonts w:ascii="Arial" w:hAnsi="Arial" w:cs="Arial"/>
          <w:b/>
          <w:sz w:val="24"/>
          <w:szCs w:val="24"/>
        </w:rPr>
        <w:t>incumplimiento. (Art. 48.)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El recurso tiene por objeto confirmar, revocar o modificar el acto reclamado (Art. 53). No se requier</w:t>
      </w:r>
      <w:r>
        <w:rPr>
          <w:rFonts w:ascii="Arial" w:hAnsi="Arial" w:cs="Arial"/>
          <w:b/>
          <w:sz w:val="24"/>
          <w:szCs w:val="24"/>
        </w:rPr>
        <w:t xml:space="preserve">e de abogado ni de palabras  </w:t>
      </w:r>
      <w:r w:rsidRPr="00B20C91">
        <w:rPr>
          <w:rFonts w:ascii="Arial" w:hAnsi="Arial" w:cs="Arial"/>
          <w:b/>
          <w:sz w:val="24"/>
          <w:szCs w:val="24"/>
        </w:rPr>
        <w:t>sacramentales para promoverlo. Incluso se puede llenar manuscritamente el formato que a</w:t>
      </w:r>
      <w:r>
        <w:rPr>
          <w:rFonts w:ascii="Arial" w:hAnsi="Arial" w:cs="Arial"/>
          <w:b/>
          <w:sz w:val="24"/>
          <w:szCs w:val="24"/>
        </w:rPr>
        <w:t xml:space="preserve">l efecto tenga el Instituto de </w:t>
      </w:r>
      <w:r w:rsidRPr="00B20C91">
        <w:rPr>
          <w:rFonts w:ascii="Arial" w:hAnsi="Arial" w:cs="Arial"/>
          <w:b/>
          <w:sz w:val="24"/>
          <w:szCs w:val="24"/>
        </w:rPr>
        <w:t xml:space="preserve">Transparencia Informativa del Estado de Sonora o la Unidad de Enlace a la que se acuda y que éstos tienen a </w:t>
      </w:r>
      <w:r>
        <w:rPr>
          <w:rFonts w:ascii="Arial" w:hAnsi="Arial" w:cs="Arial"/>
          <w:b/>
          <w:sz w:val="24"/>
          <w:szCs w:val="24"/>
        </w:rPr>
        <w:t xml:space="preserve">disposición de los  </w:t>
      </w:r>
      <w:r w:rsidRPr="00B20C91">
        <w:rPr>
          <w:rFonts w:ascii="Arial" w:hAnsi="Arial" w:cs="Arial"/>
          <w:b/>
          <w:sz w:val="24"/>
          <w:szCs w:val="24"/>
        </w:rPr>
        <w:t>interesados.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8"/>
          <w:szCs w:val="28"/>
        </w:rPr>
      </w:pPr>
      <w:r w:rsidRPr="00B20C91">
        <w:rPr>
          <w:rFonts w:ascii="Arial" w:hAnsi="Arial" w:cs="Arial"/>
          <w:b/>
          <w:sz w:val="28"/>
          <w:szCs w:val="28"/>
        </w:rPr>
        <w:t>Escrito de recurso de revisión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El escrito de interposición del recurso de revisión se presentará ante el Instituto de Transpare</w:t>
      </w:r>
      <w:r>
        <w:rPr>
          <w:rFonts w:ascii="Arial" w:hAnsi="Arial" w:cs="Arial"/>
          <w:b/>
          <w:sz w:val="24"/>
          <w:szCs w:val="24"/>
        </w:rPr>
        <w:t xml:space="preserve">ncia Informativa del Estado de  </w:t>
      </w:r>
      <w:r w:rsidRPr="00B20C91">
        <w:rPr>
          <w:rFonts w:ascii="Arial" w:hAnsi="Arial" w:cs="Arial"/>
          <w:b/>
          <w:sz w:val="24"/>
          <w:szCs w:val="24"/>
        </w:rPr>
        <w:t>Sonora o ante la Unidad de Enlace respectiva, es decir, ante la misma autoridad que dio respu</w:t>
      </w:r>
      <w:r>
        <w:rPr>
          <w:rFonts w:ascii="Arial" w:hAnsi="Arial" w:cs="Arial"/>
          <w:b/>
          <w:sz w:val="24"/>
          <w:szCs w:val="24"/>
        </w:rPr>
        <w:t xml:space="preserve">esta negativa al recurrente. La </w:t>
      </w:r>
      <w:r w:rsidRPr="00B20C91">
        <w:rPr>
          <w:rFonts w:ascii="Arial" w:hAnsi="Arial" w:cs="Arial"/>
          <w:b/>
          <w:sz w:val="24"/>
          <w:szCs w:val="24"/>
        </w:rPr>
        <w:t xml:space="preserve">unidad de enlace debe remitir al Instituto el escrito dentro de un plazo de 12 horas, contadas a partir del momento de la recepción. 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(Art. 49)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El escrito de interposición del recurso de revisión debe especificar: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1. El nombre y el domicilio del recurrente y del tercero interesado (sujeto que se oponga a que se dé la información) si lo hubiere.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2. El lugar o medio –domicilio, internet, fax o paquetería- que se elija para recibir notificaciones.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3. El acto u omisión que se impugna, es decir, la negativa de proporcionar información.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lastRenderedPageBreak/>
        <w:t>4. El sujeto obligado responsable, es decir, alguno de los señalados en el Art. 2 de la Ley (segundo párrafo de este escrito).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5. La fecha de notificación o conocimiento del acto reclamado.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6. Los agravios causados, es decir, las razones –sencillas- por las que se considera que se ha incumplido o violado la Ley.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7. Enumeración de las pruebas, en caso de haberlas.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8. La firma del recurrente al final del escrito y su antefirma al margen de cada hoja o, si no sabe firmar, la huella dactilar derecha.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 xml:space="preserve">9. Cuando el recurrente actúe por conducto de otra persona, al escrito de interposición del recurso deberán acompañarse </w:t>
      </w:r>
      <w:r>
        <w:rPr>
          <w:rFonts w:ascii="Arial" w:hAnsi="Arial" w:cs="Arial"/>
          <w:b/>
          <w:sz w:val="24"/>
          <w:szCs w:val="24"/>
        </w:rPr>
        <w:t xml:space="preserve">los  </w:t>
      </w:r>
      <w:r w:rsidRPr="00B20C91">
        <w:rPr>
          <w:rFonts w:ascii="Arial" w:hAnsi="Arial" w:cs="Arial"/>
          <w:b/>
          <w:sz w:val="24"/>
          <w:szCs w:val="24"/>
        </w:rPr>
        <w:t>documentos que acrediten su representación (Art. 50)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Si el promovente omite alguno de los requisitos, el Instituto de Transparencia Informativa del Estado</w:t>
      </w:r>
      <w:r>
        <w:rPr>
          <w:rFonts w:ascii="Arial" w:hAnsi="Arial" w:cs="Arial"/>
          <w:b/>
          <w:sz w:val="24"/>
          <w:szCs w:val="24"/>
        </w:rPr>
        <w:t xml:space="preserve"> de Sonora lo requerirá dentro  </w:t>
      </w:r>
      <w:r w:rsidRPr="00B20C91">
        <w:rPr>
          <w:rFonts w:ascii="Arial" w:hAnsi="Arial" w:cs="Arial"/>
          <w:b/>
          <w:sz w:val="24"/>
          <w:szCs w:val="24"/>
        </w:rPr>
        <w:t xml:space="preserve">de un plazo de dos días hábiles a partir de la recepción del escrito, para que el recurrente subsane </w:t>
      </w:r>
      <w:r>
        <w:rPr>
          <w:rFonts w:ascii="Arial" w:hAnsi="Arial" w:cs="Arial"/>
          <w:b/>
          <w:sz w:val="24"/>
          <w:szCs w:val="24"/>
        </w:rPr>
        <w:t xml:space="preserve">la omisión, dentro del término  </w:t>
      </w:r>
      <w:r w:rsidRPr="00B20C91">
        <w:rPr>
          <w:rFonts w:ascii="Arial" w:hAnsi="Arial" w:cs="Arial"/>
          <w:b/>
          <w:sz w:val="24"/>
          <w:szCs w:val="24"/>
        </w:rPr>
        <w:t>de 3 días hábiles, en el entendido de que la falta de respuesta al requerimiento del Instituto, ocas</w:t>
      </w:r>
      <w:r>
        <w:rPr>
          <w:rFonts w:ascii="Arial" w:hAnsi="Arial" w:cs="Arial"/>
          <w:b/>
          <w:sz w:val="24"/>
          <w:szCs w:val="24"/>
        </w:rPr>
        <w:t xml:space="preserve">ionará que el recurso se tenga </w:t>
      </w:r>
      <w:r w:rsidRPr="00B20C91">
        <w:rPr>
          <w:rFonts w:ascii="Arial" w:hAnsi="Arial" w:cs="Arial"/>
          <w:b/>
          <w:sz w:val="24"/>
          <w:szCs w:val="24"/>
        </w:rPr>
        <w:t>por no interpuesto (Art. 49).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8"/>
          <w:szCs w:val="28"/>
        </w:rPr>
      </w:pPr>
      <w:r w:rsidRPr="00B20C91">
        <w:rPr>
          <w:rFonts w:ascii="Arial" w:hAnsi="Arial" w:cs="Arial"/>
          <w:b/>
          <w:sz w:val="28"/>
          <w:szCs w:val="28"/>
        </w:rPr>
        <w:t>Procedimiento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El Instituto seguirá el procedimiento del recurso de revisión, conforme a las siguientes reglas (Art. 56).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1. Se decidirá la admisión del recurso dentro de las 24 horas de recibido el escrito.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2. Si es admitido, se le notificará (dará traslado) al sujeto obligado dentro de las 48 horas siguient</w:t>
      </w:r>
      <w:r>
        <w:rPr>
          <w:rFonts w:ascii="Arial" w:hAnsi="Arial" w:cs="Arial"/>
          <w:b/>
          <w:sz w:val="24"/>
          <w:szCs w:val="24"/>
        </w:rPr>
        <w:t xml:space="preserve">es, para que en 3 días hábiles </w:t>
      </w:r>
      <w:r w:rsidRPr="00B20C91">
        <w:rPr>
          <w:rFonts w:ascii="Arial" w:hAnsi="Arial" w:cs="Arial"/>
          <w:b/>
          <w:sz w:val="24"/>
          <w:szCs w:val="24"/>
        </w:rPr>
        <w:t xml:space="preserve">conteste o exponga lo que juzgue procedente, requiriéndolo además para que, en el mismo término, </w:t>
      </w:r>
      <w:r>
        <w:rPr>
          <w:rFonts w:ascii="Arial" w:hAnsi="Arial" w:cs="Arial"/>
          <w:b/>
          <w:sz w:val="24"/>
          <w:szCs w:val="24"/>
        </w:rPr>
        <w:t xml:space="preserve">remita copia certificada de la </w:t>
      </w:r>
      <w:r w:rsidRPr="00B20C91">
        <w:rPr>
          <w:rFonts w:ascii="Arial" w:hAnsi="Arial" w:cs="Arial"/>
          <w:b/>
          <w:sz w:val="24"/>
          <w:szCs w:val="24"/>
        </w:rPr>
        <w:t>resolución recurrida, si el recurrente no la exhibió o, de haberla exhibido sin autenticar, para que la</w:t>
      </w:r>
      <w:r>
        <w:rPr>
          <w:rFonts w:ascii="Arial" w:hAnsi="Arial" w:cs="Arial"/>
          <w:b/>
          <w:sz w:val="24"/>
          <w:szCs w:val="24"/>
        </w:rPr>
        <w:t xml:space="preserve"> certifique según corresponda, </w:t>
      </w:r>
      <w:r w:rsidRPr="00B20C91">
        <w:rPr>
          <w:rFonts w:ascii="Arial" w:hAnsi="Arial" w:cs="Arial"/>
          <w:b/>
          <w:sz w:val="24"/>
          <w:szCs w:val="24"/>
        </w:rPr>
        <w:t>con la advertencia de que, si el sujeto obligado incumple este requisito, se tendrá por cierto el acto impugnado.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3. Cuando se admitan pruebas que requieran desahogo, el Instituto dispondrá de 15 días hábiles para e</w:t>
      </w:r>
      <w:r>
        <w:rPr>
          <w:rFonts w:ascii="Arial" w:hAnsi="Arial" w:cs="Arial"/>
          <w:b/>
          <w:sz w:val="24"/>
          <w:szCs w:val="24"/>
        </w:rPr>
        <w:t xml:space="preserve">llo, sin que por motivo alguno </w:t>
      </w:r>
      <w:r w:rsidRPr="00B20C91">
        <w:rPr>
          <w:rFonts w:ascii="Arial" w:hAnsi="Arial" w:cs="Arial"/>
          <w:b/>
          <w:sz w:val="24"/>
          <w:szCs w:val="24"/>
        </w:rPr>
        <w:t>este plazo pueda ampliarse.4. Una vez desahogadas las pruebas, deberá dictarse la sentencia dentro de los 10 días hábiles siguientes.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lastRenderedPageBreak/>
        <w:t>5. Dictada la resolución, deberá notificarse a las partes dentro de un plazo de 48 horas.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Las sentencias del Instituto serán públicas, es decir, podrán consultarse por cualquier persona una vez que hayan quedado firmes.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No procede otro recurso ordinario contra tales sentencias (Art. 58)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La fundamentación del procedimiento antes descrito, se basa en la Ley de Acceso a la Información Pública del Estado de Sonora.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Para mayor información el Instituto de Transparencia Informativa del Estado de Sonora pone a su di</w:t>
      </w:r>
      <w:r>
        <w:rPr>
          <w:rFonts w:ascii="Arial" w:hAnsi="Arial" w:cs="Arial"/>
          <w:b/>
          <w:sz w:val="24"/>
          <w:szCs w:val="24"/>
        </w:rPr>
        <w:t xml:space="preserve">sposición el siguiente formato  </w:t>
      </w:r>
      <w:r w:rsidRPr="00B20C91">
        <w:rPr>
          <w:rFonts w:ascii="Arial" w:hAnsi="Arial" w:cs="Arial"/>
          <w:b/>
          <w:sz w:val="24"/>
          <w:szCs w:val="24"/>
        </w:rPr>
        <w:t>base para interposición del Recurso de Revisión: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http://www.transparenciasonora.org/recursorevision.html</w:t>
      </w:r>
    </w:p>
    <w:p w:rsidR="00B20C91" w:rsidRPr="00B20C91" w:rsidRDefault="00B20C91" w:rsidP="00B20C91">
      <w:pPr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Datos generales del Instituto de Transparencia Informativa del Estado de Sonora:</w:t>
      </w:r>
    </w:p>
    <w:p w:rsidR="00B20C91" w:rsidRPr="00B20C91" w:rsidRDefault="00B20C91" w:rsidP="00B20C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 xml:space="preserve">Calle Dr. </w:t>
      </w:r>
      <w:proofErr w:type="spellStart"/>
      <w:r w:rsidRPr="00B20C91">
        <w:rPr>
          <w:rFonts w:ascii="Arial" w:hAnsi="Arial" w:cs="Arial"/>
          <w:b/>
          <w:sz w:val="24"/>
          <w:szCs w:val="24"/>
        </w:rPr>
        <w:t>Hoeffer</w:t>
      </w:r>
      <w:proofErr w:type="spellEnd"/>
      <w:r w:rsidRPr="00B20C91">
        <w:rPr>
          <w:rFonts w:ascii="Arial" w:hAnsi="Arial" w:cs="Arial"/>
          <w:b/>
          <w:sz w:val="24"/>
          <w:szCs w:val="24"/>
        </w:rPr>
        <w:t xml:space="preserve"> N° 65, esq. calle Bravo, colonia Centenario.</w:t>
      </w:r>
    </w:p>
    <w:p w:rsidR="00B20C91" w:rsidRPr="00B20C91" w:rsidRDefault="00B20C91" w:rsidP="00B20C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Tels. (662) 213-15-43, 212-43-08</w:t>
      </w:r>
    </w:p>
    <w:p w:rsidR="00B20C91" w:rsidRPr="00B20C91" w:rsidRDefault="00B20C91" w:rsidP="00B20C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 xml:space="preserve">Hermosillo, Sonora, México </w:t>
      </w:r>
    </w:p>
    <w:p w:rsidR="009E4B2F" w:rsidRPr="00B20C91" w:rsidRDefault="00B20C91" w:rsidP="00B20C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0C91">
        <w:rPr>
          <w:rFonts w:ascii="Arial" w:hAnsi="Arial" w:cs="Arial"/>
          <w:b/>
          <w:sz w:val="24"/>
          <w:szCs w:val="24"/>
        </w:rPr>
        <w:t>01 800 701 65 66</w:t>
      </w:r>
    </w:p>
    <w:sectPr w:rsidR="009E4B2F" w:rsidRPr="00B20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91"/>
    <w:rsid w:val="00023B7D"/>
    <w:rsid w:val="00034561"/>
    <w:rsid w:val="000821BB"/>
    <w:rsid w:val="00127B07"/>
    <w:rsid w:val="00190FAB"/>
    <w:rsid w:val="001A29CD"/>
    <w:rsid w:val="001F187D"/>
    <w:rsid w:val="00214085"/>
    <w:rsid w:val="00240634"/>
    <w:rsid w:val="002D2BB1"/>
    <w:rsid w:val="002E42FF"/>
    <w:rsid w:val="002F17D1"/>
    <w:rsid w:val="003667EE"/>
    <w:rsid w:val="00400E25"/>
    <w:rsid w:val="00426DCD"/>
    <w:rsid w:val="004609E3"/>
    <w:rsid w:val="00471175"/>
    <w:rsid w:val="00474EE0"/>
    <w:rsid w:val="00481127"/>
    <w:rsid w:val="004C03EC"/>
    <w:rsid w:val="004F0EA6"/>
    <w:rsid w:val="005466E0"/>
    <w:rsid w:val="005B72C7"/>
    <w:rsid w:val="00620A2C"/>
    <w:rsid w:val="00651063"/>
    <w:rsid w:val="006C4488"/>
    <w:rsid w:val="006E4909"/>
    <w:rsid w:val="007B5899"/>
    <w:rsid w:val="007C17E1"/>
    <w:rsid w:val="007F5E95"/>
    <w:rsid w:val="00827643"/>
    <w:rsid w:val="00870CFA"/>
    <w:rsid w:val="00896656"/>
    <w:rsid w:val="008A0DAD"/>
    <w:rsid w:val="008B4469"/>
    <w:rsid w:val="008E01CD"/>
    <w:rsid w:val="00945533"/>
    <w:rsid w:val="009511BF"/>
    <w:rsid w:val="00997668"/>
    <w:rsid w:val="009A66F1"/>
    <w:rsid w:val="009B4185"/>
    <w:rsid w:val="009C6976"/>
    <w:rsid w:val="009E4B2F"/>
    <w:rsid w:val="009F6644"/>
    <w:rsid w:val="00A004D2"/>
    <w:rsid w:val="00A24930"/>
    <w:rsid w:val="00B05D1E"/>
    <w:rsid w:val="00B20C91"/>
    <w:rsid w:val="00B56433"/>
    <w:rsid w:val="00B74349"/>
    <w:rsid w:val="00B83B4C"/>
    <w:rsid w:val="00BA26E4"/>
    <w:rsid w:val="00C23772"/>
    <w:rsid w:val="00C34C69"/>
    <w:rsid w:val="00C46580"/>
    <w:rsid w:val="00C83851"/>
    <w:rsid w:val="00C92456"/>
    <w:rsid w:val="00CC2359"/>
    <w:rsid w:val="00D51BCA"/>
    <w:rsid w:val="00D63748"/>
    <w:rsid w:val="00D6507A"/>
    <w:rsid w:val="00DD2CFC"/>
    <w:rsid w:val="00DF49E1"/>
    <w:rsid w:val="00EC3861"/>
    <w:rsid w:val="00F25DC3"/>
    <w:rsid w:val="00F93A5E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Yakuvet</dc:creator>
  <cp:lastModifiedBy>Yakuvet</cp:lastModifiedBy>
  <cp:revision>1</cp:revision>
  <dcterms:created xsi:type="dcterms:W3CDTF">2013-07-02T21:51:00Z</dcterms:created>
  <dcterms:modified xsi:type="dcterms:W3CDTF">2013-07-02T21:55:00Z</dcterms:modified>
</cp:coreProperties>
</file>