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4E624E">
      <w:pPr>
        <w:pStyle w:val="Ttulo4"/>
        <w:jc w:val="center"/>
        <w:divId w:val="109756211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GOBIERNO DEL ESTADO DE SONORA</w:t>
      </w:r>
    </w:p>
    <w:p w:rsidR="005B0068" w:rsidRDefault="004E624E">
      <w:pPr>
        <w:pStyle w:val="Ttulo4"/>
        <w:jc w:val="center"/>
        <w:divId w:val="1097562118"/>
        <w:rPr>
          <w:rFonts w:eastAsia="Times New Roman"/>
        </w:rPr>
      </w:pPr>
      <w:r>
        <w:rPr>
          <w:rFonts w:eastAsia="Times New Roman"/>
        </w:rPr>
        <w:t>PROGRAMA ANUAL DE METAS DE ACTIVIDAD POR UNIDAD RESPONSABLE</w:t>
      </w:r>
    </w:p>
    <w:p w:rsidR="005B0068" w:rsidRDefault="004E624E">
      <w:pPr>
        <w:pStyle w:val="Ttulo4"/>
        <w:jc w:val="center"/>
        <w:divId w:val="1097562118"/>
        <w:rPr>
          <w:rFonts w:eastAsia="Times New Roman"/>
        </w:rPr>
      </w:pPr>
      <w:r>
        <w:rPr>
          <w:rFonts w:eastAsia="Times New Roman"/>
        </w:rPr>
        <w:t>Instituto Sonorense de Cultura</w:t>
      </w:r>
    </w:p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330"/>
        <w:gridCol w:w="765"/>
        <w:gridCol w:w="765"/>
        <w:gridCol w:w="765"/>
        <w:gridCol w:w="765"/>
        <w:gridCol w:w="1710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Centro de las Artes Cinematográficas del Noroeste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Proyecto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Difundir, promover y fomentar el aprecio por nuestro Patrimonio Cultural e impulsar los esfuerzos que se realicen en materia de cine en Sonora, Sinaloa y Baja California Norte y Sur. 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cumplimiento de la 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Centro 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144"/>
        <w:gridCol w:w="865"/>
        <w:gridCol w:w="865"/>
        <w:gridCol w:w="865"/>
        <w:gridCol w:w="865"/>
        <w:gridCol w:w="1421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Difundir y apoyar el desarrollo cultural en el Estado.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Contribuir integralmente al desarrollo cultural en el Estado, coordinando y ejecutando en su caso, programas y proyectos específicos de investigación, capacitación, creación y producción en el Estado; así como representar legalmente al Instituto y coordinar el desarrollo de las actividades técnicas y administrativas del Instituto en forma cabal y oportuna.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Índice de promoción de creadores de expresiones artísticas.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Beneficiario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Eficiencia en la ejecución de Spots y producciones especiales para radio y TV.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537"/>
        <w:gridCol w:w="1264"/>
        <w:gridCol w:w="1007"/>
        <w:gridCol w:w="1007"/>
        <w:gridCol w:w="1007"/>
        <w:gridCol w:w="1127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Brindar servicios culturales de calidad en todas las comunidades de la Entidad.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Lograr que se brinden servicios culturales de calidad en todas las comunidades de la Entidad, impulsando el conocimiento, difusión y valoración del sentido de identidad regional bajo una visión de diversidad y vanguardia.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Crecimiento de la asistencia a festivales,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festividades y eventos artísticos-culturales en el Estado.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Espectador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Índice de incorporación de municipios a la Red 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49"/>
        <w:gridCol w:w="1125"/>
        <w:gridCol w:w="1125"/>
        <w:gridCol w:w="1125"/>
        <w:gridCol w:w="1125"/>
        <w:gridCol w:w="1203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Contribuir a la preservación y fortalecimiento de la riqueza cultural y el desarrollo indígena, así como fomentar el hábito a la lectura en el Estado.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Emprender acciones que contribuyan a la preservación y fortalecimiento de la riqueza cultural y el desarrollo indígena, promoviendo la participación y el disfrute del patrimonio cultural y el arte popular; así como fomentar el interés por el hábito a la lectura en la población del Estado.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Variación anual en la asistencia a eventos culturales de fomento a la lectura del estado.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Espectador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50,000.00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Variación anual en el número de visitantes a los museos que integran la Red Estatal.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Porcentaje de usuarios atendidos en talleres impartidos en centros culturales de las etnias sonorenses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Porcentaje de cumplimiento en la realización de concursos de Literatura y Bibliotecas.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680"/>
        <w:gridCol w:w="785"/>
        <w:gridCol w:w="785"/>
        <w:gridCol w:w="785"/>
        <w:gridCol w:w="1301"/>
        <w:gridCol w:w="1480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Promover la música y las artes en el Estado.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Promover el gusto y aprecio por la música orquestal en todas sus manifestaciones y de la música de origen popular, así como el fortalecimiento de las artes visuales en nuestro Estado y en otras entidades federativas.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UNIDAD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Porcentaje de cumplimiento en la realización de conciertos de temporada.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Variación anual en la afluencia a eventos de Artes Visuales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11,000.00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911"/>
        <w:gridCol w:w="1037"/>
        <w:gridCol w:w="709"/>
        <w:gridCol w:w="1037"/>
        <w:gridCol w:w="709"/>
        <w:gridCol w:w="1453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Iniciación artística para niños, jóvenes y adultos de diversos sectores de la sociedad sonorense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Incrementar el gusto por el arte y orientar al descubrimiento de vocaciones artísticas en la población en general, ofreciendo alternativas culturales y de oficio para el desarrollo integral del individuo, reforzando los elementos de la educación artística contenidos en la educación formal a nivel de enseñanza básica.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índice de eficiencia en la realización de talleres de educación artística en Casa de la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Taller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041"/>
        <w:gridCol w:w="686"/>
        <w:gridCol w:w="686"/>
        <w:gridCol w:w="686"/>
        <w:gridCol w:w="1003"/>
        <w:gridCol w:w="1417"/>
      </w:tblGrid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Administrar y controlar el ejercicio del presupuesto autorizado para la actividad cultural.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del Proceso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Administrar adecuadamente el ejercicio y control del presupuesto autorizado al Instituto, así como proponer oportunamente las modificaciones que requiera, de acuerdo a las disposiciones legales y presupuestales. 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Estatal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 y Arte</w:t>
            </w:r>
          </w:p>
        </w:tc>
      </w:tr>
      <w:tr w:rsidR="005B0068">
        <w:trPr>
          <w:divId w:val="10975621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METAS POR TRIMESTRE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</w:tr>
      <w:tr w:rsidR="005B0068">
        <w:trPr>
          <w:divId w:val="1097562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4E62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068" w:rsidRDefault="005B0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Porcentaje de cumplimiento en acciones de mejora de la infraestructura cultural.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</w:tr>
      <w:tr w:rsidR="005B0068">
        <w:trPr>
          <w:divId w:val="1097562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Índice de eficiencia en el ejercicio del gasto.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porcentaje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8" w:rsidRDefault="004E62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</w:tbl>
    <w:p w:rsidR="005B0068" w:rsidRDefault="005B0068">
      <w:pPr>
        <w:divId w:val="1097562118"/>
        <w:rPr>
          <w:rFonts w:ascii="Arial" w:eastAsia="Times New Roman" w:hAnsi="Arial" w:cs="Arial"/>
          <w:sz w:val="20"/>
          <w:szCs w:val="20"/>
        </w:rPr>
      </w:pPr>
    </w:p>
    <w:p w:rsidR="004E624E" w:rsidRDefault="00DC04B8">
      <w:pPr>
        <w:divId w:val="1549105160"/>
        <w:rPr>
          <w:rFonts w:ascii="Arial" w:eastAsia="Times New Roman" w:hAnsi="Arial" w:cs="Arial"/>
          <w:sz w:val="20"/>
          <w:szCs w:val="20"/>
        </w:rPr>
      </w:pPr>
      <w:hyperlink r:id="rId5" w:history="1">
        <w:r w:rsidR="004E624E">
          <w:rPr>
            <w:rStyle w:val="Hipervnculo"/>
            <w:rFonts w:ascii="Arial" w:eastAsia="Times New Roman" w:hAnsi="Arial" w:cs="Arial"/>
            <w:sz w:val="20"/>
            <w:szCs w:val="20"/>
            <w:specVanish w:val="0"/>
          </w:rPr>
          <w:t xml:space="preserve">Regresar a seleciÃ³n de UR </w:t>
        </w:r>
      </w:hyperlink>
    </w:p>
    <w:sectPr w:rsidR="004E6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51A9"/>
    <w:rsid w:val="004E624E"/>
    <w:rsid w:val="005B0068"/>
    <w:rsid w:val="006E51A9"/>
    <w:rsid w:val="00D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75" w:after="75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pPr>
      <w:spacing w:before="75" w:after="75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qFormat/>
    <w:pPr>
      <w:spacing w:before="75" w:after="75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ar"/>
    <w:uiPriority w:val="9"/>
    <w:qFormat/>
    <w:pPr>
      <w:spacing w:before="75" w:after="75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vanish/>
      <w:webHidden w:val="0"/>
      <w:color w:val="0000FF"/>
      <w:u w:val="single"/>
      <w:specVanish w:val="0"/>
    </w:rPr>
  </w:style>
  <w:style w:type="character" w:styleId="Hipervnculovisitado">
    <w:name w:val="FollowedHyperlink"/>
    <w:basedOn w:val="Fuentedeprrafopredeter"/>
    <w:uiPriority w:val="99"/>
    <w:semiHidden/>
    <w:unhideWhenUsed/>
    <w:rPr>
      <w:vanish/>
      <w:webHidden w:val="0"/>
      <w:color w:val="800080"/>
      <w:u w:val="single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active">
    <w:name w:val="active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active2">
    <w:name w:val="active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75" w:after="75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pPr>
      <w:spacing w:before="75" w:after="75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qFormat/>
    <w:pPr>
      <w:spacing w:before="75" w:after="75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ar"/>
    <w:uiPriority w:val="9"/>
    <w:qFormat/>
    <w:pPr>
      <w:spacing w:before="75" w:after="75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vanish/>
      <w:webHidden w:val="0"/>
      <w:color w:val="0000FF"/>
      <w:u w:val="single"/>
      <w:specVanish w:val="0"/>
    </w:rPr>
  </w:style>
  <w:style w:type="character" w:styleId="Hipervnculovisitado">
    <w:name w:val="FollowedHyperlink"/>
    <w:basedOn w:val="Fuentedeprrafopredeter"/>
    <w:uiPriority w:val="99"/>
    <w:semiHidden/>
    <w:unhideWhenUsed/>
    <w:rPr>
      <w:vanish/>
      <w:webHidden w:val="0"/>
      <w:color w:val="800080"/>
      <w:u w:val="single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active">
    <w:name w:val="active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active2">
    <w:name w:val="active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SIPREP_FIX\Entregables\Seleccion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Document</vt:lpstr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>OMCETI03</dc:creator>
  <cp:keywords/>
  <dc:description/>
  <cp:lastModifiedBy>Claudia</cp:lastModifiedBy>
  <cp:revision>2</cp:revision>
  <cp:lastPrinted>2015-03-05T19:17:00Z</cp:lastPrinted>
  <dcterms:created xsi:type="dcterms:W3CDTF">2015-03-05T19:19:00Z</dcterms:created>
  <dcterms:modified xsi:type="dcterms:W3CDTF">2015-03-05T19:19:00Z</dcterms:modified>
</cp:coreProperties>
</file>