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B626E7">
        <w:t>11</w:t>
      </w:r>
      <w:r w:rsidR="0045236F">
        <w:t>1</w:t>
      </w:r>
      <w:r w:rsidR="00F30B90">
        <w:t>7</w:t>
      </w:r>
      <w:r>
        <w:t>-0</w:t>
      </w:r>
      <w:r w:rsidR="0045236F">
        <w:t>0</w:t>
      </w:r>
      <w:r w:rsidR="00F30B90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C22725" w:rsidP="004F09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</w:t>
            </w:r>
            <w:r w:rsidR="00483C46">
              <w:rPr>
                <w:rFonts w:ascii="Century Gothic" w:hAnsi="Century Gothic" w:cs="Century Gothic"/>
                <w:sz w:val="18"/>
                <w:szCs w:val="18"/>
              </w:rPr>
              <w:t>Innovación</w:t>
            </w:r>
            <w:r w:rsidR="00302C7B">
              <w:rPr>
                <w:rFonts w:ascii="Century Gothic" w:hAnsi="Century Gothic" w:cs="Century Gothic"/>
                <w:sz w:val="18"/>
                <w:szCs w:val="18"/>
              </w:rPr>
              <w:t xml:space="preserve">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Sectores 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F30B90">
        <w:trPr>
          <w:trHeight w:val="283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332CE" w:rsidP="004F09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</w:t>
            </w:r>
            <w:r w:rsidR="00C56A44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F30B90" w:rsidP="00F30B9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Subsecretaria de Impulso a la Comercialización, </w:t>
            </w:r>
            <w:r w:rsidR="00464BF5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</w:t>
            </w:r>
            <w:r w:rsidR="00464BF5" w:rsidRPr="00D32C2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</w:t>
            </w:r>
            <w:r w:rsidR="00362F99">
              <w:rPr>
                <w:rFonts w:ascii="Century Gothic" w:hAnsi="Century Gothic" w:cs="Century Gothic"/>
                <w:bCs/>
                <w:sz w:val="18"/>
                <w:szCs w:val="18"/>
              </w:rPr>
              <w:t>Innovación</w:t>
            </w:r>
            <w:bookmarkStart w:id="0" w:name="_GoBack"/>
            <w:bookmarkEnd w:id="0"/>
            <w:r w:rsidR="00362F9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y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Sectores 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AA3796" w:rsidP="00F30B9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</w:t>
            </w:r>
            <w:r w:rsidR="004473C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General</w:t>
            </w:r>
            <w:r w:rsidR="00F30B9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</w:t>
            </w:r>
            <w:r w:rsidR="00362F9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Innovación y </w:t>
            </w:r>
            <w:r w:rsidR="00F30B90" w:rsidRPr="00D32C2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F30B90">
              <w:rPr>
                <w:rFonts w:ascii="Century Gothic" w:hAnsi="Century Gothic" w:cs="Century Gothic"/>
                <w:bCs/>
                <w:sz w:val="18"/>
                <w:szCs w:val="18"/>
              </w:rPr>
              <w:t>Sectores 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F30B90" w:rsidRDefault="00DF2EB8" w:rsidP="004F09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Fomento Tecnológico e Innovación, Subdirector de Difusión y Promoción de Fondos para Sectores Tecnológicos, Encargado de Estrategias E-Commerce/E </w:t>
            </w:r>
            <w:proofErr w:type="spell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Learning</w:t>
            </w:r>
            <w:proofErr w:type="spellEnd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, y Asistente de Dirección General.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145464" w:rsidRDefault="00145464" w:rsidP="0014546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Promover el desarrollo regional basado en la innovación, el conocimiento, y la adopción de nuevas tecnologías;</w:t>
      </w:r>
    </w:p>
    <w:p w:rsidR="00145464" w:rsidRDefault="00145464" w:rsidP="0014546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definir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las estrategias </w:t>
      </w:r>
      <w:r w:rsidR="00483C46">
        <w:rPr>
          <w:rFonts w:ascii="Century Gothic" w:hAnsi="Century Gothic" w:cs="Century Gothic"/>
          <w:sz w:val="18"/>
          <w:szCs w:val="18"/>
        </w:rPr>
        <w:t>específicas</w:t>
      </w:r>
      <w:r>
        <w:rPr>
          <w:rFonts w:ascii="Century Gothic" w:hAnsi="Century Gothic" w:cs="Century Gothic"/>
          <w:sz w:val="18"/>
          <w:szCs w:val="18"/>
        </w:rPr>
        <w:t xml:space="preserve"> y genera programas de acción para cada uno de los sectores tecnológicos en el Estado; detectar sectores tecnológicos con factibilidad de desarrollarse en base a proyectos concretos de alto valor y alto impacto económico; definir la estrategia global para detonar los sectores tecnológicos  objetivo, con la participación de los tres niveles de Gobierno, de institución Educativa y de la Iniciativa Privada;</w:t>
      </w:r>
    </w:p>
    <w:p w:rsidR="00D82951" w:rsidRDefault="00D82951" w:rsidP="00145464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3963A9" w:rsidRDefault="003963A9" w:rsidP="003963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Coordinar la estrategia global para detonar las industrias de tecnologías en la entidad. Coordinar el programa Sonora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Soft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Tecnologías de Información (TI) en el Estado con las participación de los tres niveles de Gobierno, de Instituciones Educativas y de la Iniciativa Privada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3963A9" w:rsidRDefault="003963A9" w:rsidP="003963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Realizar las acciones encaminadas a detonar los sectores tecnológicos objetivos identificados y con ello fomentar el desarrollo económico de la Entidad; impulsar el fortalecimiento de las pequeñas y medianas empresas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tecnológicas ,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a través de la canalización y promoción de instrumentos de apoyo que fortalezcan su desarrollo.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3963A9" w:rsidRDefault="003963A9" w:rsidP="003963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acuerdos de coordinación, convenios de concertación y gestión de recursos entre los sectores público, social y privado en las áreas de tecnología, ciencia e innovación y procurar, a través de las acciones necesarias de coordinación institucional, su correcto desarrollo.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3963A9" w:rsidP="00483C4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la creación, modernización y mantenimiento  de parques científicos y tecnológicos; realizar las acciones necesari</w:t>
            </w:r>
            <w:r w:rsidR="00483C46">
              <w:rPr>
                <w:rFonts w:ascii="Century Gothic" w:hAnsi="Century Gothic" w:cs="Century Gothic"/>
                <w:sz w:val="18"/>
                <w:szCs w:val="18"/>
              </w:rPr>
              <w:t>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la ejecución, el buen funcionamiento y la continuidad de los parques científicos y tecnológicos dentro de la Entidad.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3963A9" w:rsidRDefault="003963A9" w:rsidP="003963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Definir y diseñar los proyectos que ayuden a crear las condiciones necesarias para la atracción de inversión en industria de Tecnologías de la Información al Estado.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3963A9" w:rsidRDefault="003963A9" w:rsidP="003963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Impulsar la realización de proyectos de beneficio a empresa de la industria de Tecnologías de Información de instituciones educativas con planes afines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3963A9" w:rsidRDefault="003963A9" w:rsidP="00483C4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a los consultores, asesores, arquitectos abogados en la elaboración de planes de negocio, proyecto ejecutivo y figuras jurídicas, entre otros, que en su momento se contraten.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3963A9" w:rsidRDefault="003963A9" w:rsidP="003963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Gestionar recursos ante los diferentes niveles de gobierno y la iniciativa privada, para impulsar la realización de proyectos en materia de Tecnología de Información,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buscando la autosuficiencia financiera de los proyectos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9.-</w:t>
            </w:r>
          </w:p>
        </w:tc>
        <w:tc>
          <w:tcPr>
            <w:tcW w:w="7853" w:type="dxa"/>
          </w:tcPr>
          <w:p w:rsidR="00E11E06" w:rsidRPr="00501397" w:rsidRDefault="003963A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a los inversionistas y la realización de viajes  de promoción.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3963A9" w:rsidRDefault="003963A9" w:rsidP="003963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Relacionarse con la distintas dependencias estatales y federales que de alguna manera participen en el proyecto, como la Secretaría de Economía Federal, la Secretaria de Educación y Cultura, La Secretaria de Infraestructura y de Desarrollo Urbano, Consejo Estatal de Ciencia y Tecnología , entre otras.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501397" w:rsidRDefault="003963A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la ejecución y operación de los proyectos apoyados de coordinación con los operadores de los mismos.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E11E06" w:rsidRPr="003963A9" w:rsidRDefault="003963A9" w:rsidP="003963A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con las autoridades federales, estatales y municipales las gestiones necesarias para obtener y simplificar las autoridades, permisos o concesiones que permitan el desarrollo de infraestructura necesaria para detonar las industrias de Tecnología de Información en el Estado.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:rsidR="00E11E06" w:rsidRPr="00501397" w:rsidRDefault="003963A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todo tipo de promoción y publicidad de los proyectos y programas a su cargo.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447322" w:rsidP="0044732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Secretaria de Educación y Cultura:</w:t>
            </w:r>
            <w:r w:rsidR="004F09A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Para promover y/o solicitar el apoyo a proyectos de capacitación en universidades.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447322" w:rsidRDefault="00447322" w:rsidP="0044732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Infraestructura y de Desarrollo Urbano:</w:t>
            </w:r>
          </w:p>
          <w:p w:rsidR="001E4C73" w:rsidRDefault="00447322" w:rsidP="0044732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Para la supervisión de Parques Tecnológicos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447322" w:rsidP="0044732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Consejo Estatal de Ciencia y Tecnología:  Para La incursión de proyectos en el Programa Estatal de Innovación y Desarrollo Tecnológico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447322" w:rsidRDefault="00447322" w:rsidP="0044732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Vinculación -Coordinación</w:t>
            </w:r>
          </w:p>
          <w:p w:rsidR="001E4C73" w:rsidRDefault="00447322" w:rsidP="0044732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para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la adecuación de programas a los Requerimientos de las actividades productivas.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447322" w:rsidP="0044732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Gestión Financiera: Para coordinar la operación del Fondo PROSOFT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447322" w:rsidP="0044732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COPRESON: Para todo lo relacionado con la atención de inversionistas  a  potenciales y promoción del estado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4F09A6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 Federal (PROSOFT): Para todo lo relacionado con los recursos para ejecución de Proyectos PROSOFT</w:t>
            </w:r>
          </w:p>
        </w:tc>
      </w:tr>
      <w:tr w:rsidR="00447322" w:rsidTr="00635591">
        <w:tc>
          <w:tcPr>
            <w:tcW w:w="994" w:type="dxa"/>
          </w:tcPr>
          <w:p w:rsidR="00447322" w:rsidRPr="00113743" w:rsidRDefault="0044732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447322" w:rsidRDefault="00447322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h) 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6678" w:type="dxa"/>
          </w:tcPr>
          <w:p w:rsidR="00E229CE" w:rsidRDefault="00E229CE" w:rsidP="00E229C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Instituciones Educativas de medio superior y superior Adecuación de programas a los requerimientos de las actividades productivas y a las oportunidades generales.</w:t>
            </w:r>
          </w:p>
          <w:p w:rsidR="00447322" w:rsidRDefault="00447322" w:rsidP="004F09A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E229CE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CANIETI Coordinación de acciones encaminadas a detonar sectores tecnológicos del Estado.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229CE" w:rsidRDefault="00E229CE" w:rsidP="00E229C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Beneficiarios del Programa   Para la coordinación de la gestión de apoyos y recursos.</w:t>
            </w:r>
          </w:p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E229CE" w:rsidP="00E229C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agendas de actividades, programas y proyectos en la primera quincena de diciembre del año que se va iniciar.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E229C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Reporte mensual de los avances de las actividades de la agenda, programa, presupuesto y proyectos realizados.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E229C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Revisión semestral de avances en actividades de la agenda, programas, presupuestos y proyectos realizados.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229C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Pr="00E229CE">
        <w:rPr>
          <w:rFonts w:ascii="Century Gothic" w:hAnsi="Century Gothic" w:cs="Century Gothic"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E229CE" w:rsidRPr="00E229CE">
            <w:rPr>
              <w:rFonts w:ascii="Century Gothic" w:hAnsi="Century Gothic" w:cs="Century Gothic"/>
              <w:bCs/>
              <w:sz w:val="18"/>
              <w:szCs w:val="18"/>
            </w:rPr>
            <w:t xml:space="preserve">Lic. Economía, Ing. En Sistemas, Lic. </w:t>
          </w:r>
          <w:proofErr w:type="gramStart"/>
          <w:r w:rsidR="00E229CE" w:rsidRPr="00E229CE">
            <w:rPr>
              <w:rFonts w:ascii="Century Gothic" w:hAnsi="Century Gothic" w:cs="Century Gothic"/>
              <w:bCs/>
              <w:sz w:val="18"/>
              <w:szCs w:val="18"/>
            </w:rPr>
            <w:t>en</w:t>
          </w:r>
          <w:proofErr w:type="gramEnd"/>
          <w:r w:rsidR="00E229CE" w:rsidRPr="00E229CE">
            <w:rPr>
              <w:rFonts w:ascii="Century Gothic" w:hAnsi="Century Gothic" w:cs="Century Gothic"/>
              <w:bCs/>
              <w:sz w:val="18"/>
              <w:szCs w:val="18"/>
            </w:rPr>
            <w:t xml:space="preserve"> Administración</w:t>
          </w:r>
          <w:r w:rsidR="008564CA" w:rsidRPr="00E229CE">
            <w:rPr>
              <w:rFonts w:ascii="Century Gothic" w:hAnsi="Century Gothic" w:cs="Century Gothic"/>
              <w:bCs/>
              <w:sz w:val="18"/>
              <w:szCs w:val="18"/>
            </w:rPr>
            <w:t xml:space="preserve"> </w:t>
          </w:r>
        </w:sdtContent>
      </w:sdt>
    </w:p>
    <w:p w:rsidR="002B4AA2" w:rsidRPr="00E229CE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229CE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E229CE">
        <w:rPr>
          <w:rFonts w:ascii="Century Gothic" w:hAnsi="Century Gothic" w:cs="Century Gothic"/>
          <w:bCs/>
          <w:sz w:val="18"/>
          <w:szCs w:val="18"/>
        </w:rPr>
        <w:t>Economía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229CE">
        <w:rPr>
          <w:rFonts w:ascii="Century Gothic" w:hAnsi="Century Gothic" w:cs="Century Gothic"/>
          <w:sz w:val="18"/>
          <w:szCs w:val="18"/>
        </w:rPr>
        <w:t>1 año</w:t>
      </w:r>
      <w:r w:rsidR="008564CA">
        <w:rPr>
          <w:rFonts w:ascii="Century Gothic" w:hAnsi="Century Gothic" w:cs="Century Gothic"/>
          <w:sz w:val="18"/>
          <w:szCs w:val="18"/>
        </w:rPr>
        <w:t xml:space="preserve"> en </w:t>
      </w:r>
      <w:r w:rsidR="00E229CE">
        <w:rPr>
          <w:rFonts w:ascii="Century Gothic" w:hAnsi="Century Gothic" w:cs="Century Gothic"/>
          <w:sz w:val="18"/>
          <w:szCs w:val="18"/>
        </w:rPr>
        <w:t>conocimiento de negociación y manejo de conflictos</w:t>
      </w:r>
    </w:p>
    <w:p w:rsidR="00E229CE" w:rsidRDefault="00E229CE" w:rsidP="00E229C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>
        <w:rPr>
          <w:rFonts w:ascii="Century Gothic" w:hAnsi="Century Gothic" w:cs="Century Gothic"/>
          <w:sz w:val="18"/>
          <w:szCs w:val="18"/>
        </w:rPr>
        <w:t>Actividades Administrativas y Gerenciales</w:t>
      </w:r>
    </w:p>
    <w:p w:rsidR="00E229CE" w:rsidRDefault="00E229CE" w:rsidP="00E229C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E229C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E229CE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Dominar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229CE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229C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229CE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</w:r>
      <w:r>
        <w:rPr>
          <w:rFonts w:ascii="Century Gothic" w:hAnsi="Century Gothic" w:cs="Century Gothic"/>
          <w:sz w:val="18"/>
          <w:szCs w:val="18"/>
        </w:rPr>
        <w:lastRenderedPageBreak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229CE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229C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E229C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02701F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E229CE" w:rsidRDefault="00E229CE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E229CE" w:rsidP="00E229CE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</w:t>
            </w:r>
            <w:r w:rsidR="00483C46">
              <w:rPr>
                <w:rFonts w:ascii="Century Gothic" w:hAnsi="Century Gothic" w:cs="Century Gothic"/>
                <w:sz w:val="18"/>
                <w:szCs w:val="18"/>
              </w:rPr>
              <w:t xml:space="preserve"> Innovación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Sectores Tecnológicos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E229CE" w:rsidP="00E229CE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Impulso a la Comercialización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86" w:rsidRDefault="00997F86" w:rsidP="0068032F">
      <w:pPr>
        <w:spacing w:after="0" w:line="240" w:lineRule="auto"/>
      </w:pPr>
      <w:r>
        <w:separator/>
      </w:r>
    </w:p>
  </w:endnote>
  <w:endnote w:type="continuationSeparator" w:id="0">
    <w:p w:rsidR="00997F86" w:rsidRDefault="00997F8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A6" w:rsidRDefault="004F09A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22725">
      <w:rPr>
        <w:rFonts w:asciiTheme="majorHAnsi" w:hAnsiTheme="majorHAnsi"/>
        <w:b/>
      </w:rPr>
      <w:t xml:space="preserve">Director General de </w:t>
    </w:r>
    <w:r w:rsidR="00362F99">
      <w:rPr>
        <w:rFonts w:asciiTheme="majorHAnsi" w:hAnsiTheme="majorHAnsi"/>
        <w:b/>
      </w:rPr>
      <w:t xml:space="preserve">Innovación y </w:t>
    </w:r>
    <w:r w:rsidRPr="00C22725">
      <w:rPr>
        <w:rFonts w:asciiTheme="majorHAnsi" w:hAnsiTheme="majorHAnsi"/>
        <w:b/>
      </w:rPr>
      <w:t>Sectores Tecnológicos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AF7CEC">
      <w:fldChar w:fldCharType="begin"/>
    </w:r>
    <w:r w:rsidR="00AF7CEC">
      <w:instrText xml:space="preserve"> PAGE   \* MERGEFORMAT </w:instrText>
    </w:r>
    <w:r w:rsidR="00AF7CEC">
      <w:fldChar w:fldCharType="separate"/>
    </w:r>
    <w:r w:rsidR="00362F99" w:rsidRPr="00362F99">
      <w:rPr>
        <w:rFonts w:asciiTheme="majorHAnsi" w:hAnsiTheme="majorHAnsi"/>
        <w:noProof/>
      </w:rPr>
      <w:t>4</w:t>
    </w:r>
    <w:r w:rsidR="00AF7CEC">
      <w:rPr>
        <w:rFonts w:asciiTheme="majorHAnsi" w:hAnsiTheme="majorHAnsi"/>
        <w:noProof/>
      </w:rPr>
      <w:fldChar w:fldCharType="end"/>
    </w:r>
  </w:p>
  <w:p w:rsidR="004F09A6" w:rsidRDefault="004F09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86" w:rsidRDefault="00997F86" w:rsidP="0068032F">
      <w:pPr>
        <w:spacing w:after="0" w:line="240" w:lineRule="auto"/>
      </w:pPr>
      <w:r>
        <w:separator/>
      </w:r>
    </w:p>
  </w:footnote>
  <w:footnote w:type="continuationSeparator" w:id="0">
    <w:p w:rsidR="00997F86" w:rsidRDefault="00997F8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A6" w:rsidRDefault="00997F8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09A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4F09A6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4F09A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2701F"/>
    <w:rsid w:val="0007300F"/>
    <w:rsid w:val="000B7DAA"/>
    <w:rsid w:val="0010290A"/>
    <w:rsid w:val="00102BBD"/>
    <w:rsid w:val="001146C1"/>
    <w:rsid w:val="00145464"/>
    <w:rsid w:val="001511EB"/>
    <w:rsid w:val="0017200E"/>
    <w:rsid w:val="00190C96"/>
    <w:rsid w:val="001E4C73"/>
    <w:rsid w:val="00212675"/>
    <w:rsid w:val="002329C1"/>
    <w:rsid w:val="00272361"/>
    <w:rsid w:val="002B4AA2"/>
    <w:rsid w:val="002C52EF"/>
    <w:rsid w:val="002D1F8E"/>
    <w:rsid w:val="00302C7B"/>
    <w:rsid w:val="003463A3"/>
    <w:rsid w:val="00362F99"/>
    <w:rsid w:val="003647BB"/>
    <w:rsid w:val="003963A9"/>
    <w:rsid w:val="003E4A62"/>
    <w:rsid w:val="003F3A05"/>
    <w:rsid w:val="00402C08"/>
    <w:rsid w:val="00447322"/>
    <w:rsid w:val="004473CB"/>
    <w:rsid w:val="0045236F"/>
    <w:rsid w:val="0045248D"/>
    <w:rsid w:val="00464BF5"/>
    <w:rsid w:val="00467CD3"/>
    <w:rsid w:val="00483C46"/>
    <w:rsid w:val="004F09A6"/>
    <w:rsid w:val="00501397"/>
    <w:rsid w:val="0056174E"/>
    <w:rsid w:val="00587D14"/>
    <w:rsid w:val="00596DDC"/>
    <w:rsid w:val="005F1F14"/>
    <w:rsid w:val="006254C6"/>
    <w:rsid w:val="00635591"/>
    <w:rsid w:val="006453D2"/>
    <w:rsid w:val="00655703"/>
    <w:rsid w:val="0068032F"/>
    <w:rsid w:val="007308F7"/>
    <w:rsid w:val="00730BA7"/>
    <w:rsid w:val="00741E03"/>
    <w:rsid w:val="007B162C"/>
    <w:rsid w:val="007D3003"/>
    <w:rsid w:val="00817409"/>
    <w:rsid w:val="008564CA"/>
    <w:rsid w:val="00893993"/>
    <w:rsid w:val="008C30D7"/>
    <w:rsid w:val="008E33AC"/>
    <w:rsid w:val="008E53FE"/>
    <w:rsid w:val="008F4088"/>
    <w:rsid w:val="00950179"/>
    <w:rsid w:val="00950DBB"/>
    <w:rsid w:val="0096120A"/>
    <w:rsid w:val="00964569"/>
    <w:rsid w:val="009701BA"/>
    <w:rsid w:val="00984B0E"/>
    <w:rsid w:val="00997F86"/>
    <w:rsid w:val="009A1C1C"/>
    <w:rsid w:val="009B14D6"/>
    <w:rsid w:val="009C2ECB"/>
    <w:rsid w:val="009C612B"/>
    <w:rsid w:val="009E7D30"/>
    <w:rsid w:val="00AA3796"/>
    <w:rsid w:val="00AB0D64"/>
    <w:rsid w:val="00AF3BE8"/>
    <w:rsid w:val="00AF7CEC"/>
    <w:rsid w:val="00B12FBF"/>
    <w:rsid w:val="00B332CE"/>
    <w:rsid w:val="00B40EA5"/>
    <w:rsid w:val="00B626E7"/>
    <w:rsid w:val="00B77F93"/>
    <w:rsid w:val="00B8777B"/>
    <w:rsid w:val="00BC4EC1"/>
    <w:rsid w:val="00BF30D2"/>
    <w:rsid w:val="00BF5FA5"/>
    <w:rsid w:val="00C22725"/>
    <w:rsid w:val="00C25AB6"/>
    <w:rsid w:val="00C42A89"/>
    <w:rsid w:val="00C51974"/>
    <w:rsid w:val="00C56A44"/>
    <w:rsid w:val="00C7018B"/>
    <w:rsid w:val="00C765F4"/>
    <w:rsid w:val="00D16940"/>
    <w:rsid w:val="00D76BC6"/>
    <w:rsid w:val="00D81D47"/>
    <w:rsid w:val="00D82951"/>
    <w:rsid w:val="00DD3587"/>
    <w:rsid w:val="00DF2EB8"/>
    <w:rsid w:val="00DF4D33"/>
    <w:rsid w:val="00DF5284"/>
    <w:rsid w:val="00E11E06"/>
    <w:rsid w:val="00E229CE"/>
    <w:rsid w:val="00E30C21"/>
    <w:rsid w:val="00E3528C"/>
    <w:rsid w:val="00E37E8A"/>
    <w:rsid w:val="00E743E5"/>
    <w:rsid w:val="00E81AE7"/>
    <w:rsid w:val="00EB437B"/>
    <w:rsid w:val="00F11820"/>
    <w:rsid w:val="00F21827"/>
    <w:rsid w:val="00F30B90"/>
    <w:rsid w:val="00F54183"/>
    <w:rsid w:val="00F651D3"/>
    <w:rsid w:val="00F861E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114D83"/>
    <w:rsid w:val="00181EBC"/>
    <w:rsid w:val="001967FE"/>
    <w:rsid w:val="001A7B83"/>
    <w:rsid w:val="002D2F23"/>
    <w:rsid w:val="0030672C"/>
    <w:rsid w:val="003071F5"/>
    <w:rsid w:val="00327066"/>
    <w:rsid w:val="003B00BC"/>
    <w:rsid w:val="0044672C"/>
    <w:rsid w:val="004B37C7"/>
    <w:rsid w:val="004B6E34"/>
    <w:rsid w:val="004D16AA"/>
    <w:rsid w:val="006279B2"/>
    <w:rsid w:val="00662566"/>
    <w:rsid w:val="00670907"/>
    <w:rsid w:val="006E5DB5"/>
    <w:rsid w:val="00781C84"/>
    <w:rsid w:val="007B326F"/>
    <w:rsid w:val="00815D56"/>
    <w:rsid w:val="008507D3"/>
    <w:rsid w:val="0094468D"/>
    <w:rsid w:val="00966091"/>
    <w:rsid w:val="00A605D5"/>
    <w:rsid w:val="00A752EB"/>
    <w:rsid w:val="00AA505F"/>
    <w:rsid w:val="00B62646"/>
    <w:rsid w:val="00BB70D5"/>
    <w:rsid w:val="00BD2483"/>
    <w:rsid w:val="00BF359B"/>
    <w:rsid w:val="00C71A92"/>
    <w:rsid w:val="00CC2FAC"/>
    <w:rsid w:val="00D6429C"/>
    <w:rsid w:val="00E62A01"/>
    <w:rsid w:val="00E85809"/>
    <w:rsid w:val="00F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4</cp:revision>
  <dcterms:created xsi:type="dcterms:W3CDTF">2019-04-04T01:51:00Z</dcterms:created>
  <dcterms:modified xsi:type="dcterms:W3CDTF">2019-10-15T00:32:00Z</dcterms:modified>
</cp:coreProperties>
</file>